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rPr/>
        <w:t>Worksheet 1: Lipid Digestion and Fair Comparisons</w:t>
      </w:r>
    </w:p>
    <w:p>
      <w:r>
        <w:rPr>
          <w:sz w:val="24"/>
        </w:rPr>
        <w:t>Name: ________________    Class: ________    No.: ________</w:t>
      </w:r>
    </w:p>
    <w:p>
      <w:r>
        <w:rPr>
          <w:sz w:val="24"/>
        </w:rPr>
        <w:t>Please read the topic notes first, then answer the questions based on the scenario and simulation results provided.</w:t>
      </w:r>
    </w:p>
    <w:p w14:paraId="017772D7" w14:textId="77777777" w:rsidR="0039517C" w:rsidRDefault="00000000">
      <w:pPr>
        <w:pStyle w:val="21"/>
        <w:spacing w:after="40" w:before="0"/>
        <w:rPr>
          <w:lang w:eastAsia="zh-TW"/>
        </w:rPr>
      </w:pPr>
      <w:r>
        <w:t>Topic notes</w:t>
      </w:r>
    </w:p>
    <w:p w14:paraId="5E7D44B9" w14:textId="77777777" w:rsidR="0039517C" w:rsidRDefault="00000000">
      <w:pPr>
        <w:pStyle w:val="31"/>
        <w:spacing w:after="40" w:before="0"/>
        <w:rPr>
          <w:lang w:eastAsia="zh-TW"/>
        </w:rPr>
      </w:pPr>
      <w:r>
        <w:t>01  Bile: emulsifying lipids</w:t>
      </w:r>
    </w:p>
    <w:p w14:paraId="06C243E7" w14:textId="77777777" w:rsidR="0039517C" w:rsidRDefault="00000000">
      <w:pPr>
        <w:spacing w:after="40" w:before="0"/>
      </w:pPr>
      <w:r>
        <w:rPr>
          <w:sz w:val="24"/>
        </w:rPr>
      </w:r>
      <w:r>
        <w:rPr>
          <w:b/>
          <w:color w:val="B7312C"/>
          <w:sz w:val="24"/>
        </w:rPr>
      </w:r>
      <w:r>
        <w:rPr>
          <w:sz w:val="24"/>
        </w:rPr>
        <w:t xml:space="preserve">Made in the liver and stored in the gall bladder, </w:t>
      </w:r>
      <w:r>
        <w:rPr>
          <w:b/>
          <w:color w:val="B7312C"/>
          <w:sz w:val="24"/>
        </w:rPr>
        <w:t>bile</w:t>
      </w:r>
      <w:r>
        <w:rPr>
          <w:sz w:val="24"/>
        </w:rPr>
        <w:t xml:space="preserve"> contains no digestive enzymes. It </w:t>
      </w:r>
      <w:r>
        <w:rPr>
          <w:b/>
          <w:color w:val="B7312C"/>
          <w:sz w:val="24"/>
        </w:rPr>
        <w:t>emulsifies</w:t>
      </w:r>
      <w:r>
        <w:rPr>
          <w:sz w:val="24"/>
        </w:rPr>
        <w:t xml:space="preserve"> large oil droplets into </w:t>
      </w:r>
      <w:r>
        <w:rPr>
          <w:b/>
          <w:color w:val="B7312C"/>
          <w:sz w:val="24"/>
        </w:rPr>
        <w:t>small droplets</w:t>
      </w:r>
      <w:r>
        <w:rPr>
          <w:sz w:val="24"/>
        </w:rPr>
        <w:t xml:space="preserve">, increasing the </w:t>
      </w:r>
      <w:r>
        <w:rPr>
          <w:b/>
          <w:color w:val="B7312C"/>
          <w:sz w:val="24"/>
        </w:rPr>
        <w:t>total surface area</w:t>
      </w:r>
      <w:r>
        <w:rPr>
          <w:sz w:val="24"/>
        </w:rPr>
        <w:t xml:space="preserve"> for </w:t>
      </w:r>
      <w:r>
        <w:rPr>
          <w:b/>
          <w:color w:val="B7312C"/>
          <w:sz w:val="24"/>
        </w:rPr>
        <w:t>lipase</w:t>
      </w:r>
      <w:r>
        <w:rPr>
          <w:sz w:val="24"/>
        </w:rPr>
        <w:t xml:space="preserve"> to act on. This is </w:t>
      </w:r>
      <w:r>
        <w:rPr>
          <w:b/>
          <w:color w:val="B7312C"/>
          <w:sz w:val="24"/>
        </w:rPr>
        <w:t>physical digestion</w:t>
      </w:r>
      <w:r>
        <w:rPr>
          <w:sz w:val="24"/>
        </w:rPr>
        <w:t>: lipid molecules remain unchanged.</w:t>
      </w:r>
    </w:p>
    <w:p w14:paraId="65B3B9ED" w14:textId="77777777" w:rsidR="0039517C" w:rsidRDefault="00000000">
      <w:pPr>
        <w:spacing w:after="40" w:line="240" w:lineRule="auto" w:before="0"/>
        <w:jc w:val="center"/>
      </w:pPr>
      <w:r>
        <w:rPr>
          <w:noProof/>
        </w:rPr>
        <w:drawing>
          <wp:inline distT="0" distB="0" distL="0" distR="0" wp14:anchorId="4AB9DBB2" wp14:editId="572E0DB6">
            <wp:extent cx="6480000" cy="190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mulsification.png"/>
                    <pic:cNvPicPr/>
                  </pic:nvPicPr>
                  <pic:blipFill>
                    <a:blip r:embed="rId17"/>
                    <a:stretch>
                      <a:fillRect/>
                    </a:stretch>
                  </pic:blipFill>
                  <pic:spPr>
                    <a:xfrm>
                      <a:off x="0" y="0"/>
                      <a:ext cx="6480000" cy="1908000"/>
                    </a:xfrm>
                    <a:prstGeom prst="rect">
                      <a:avLst/>
                    </a:prstGeom>
                  </pic:spPr>
                </pic:pic>
              </a:graphicData>
            </a:graphic>
          </wp:inline>
        </w:drawing>
      </w:r>
    </w:p>
    <w:p w14:paraId="3AF09E1A" w14:textId="77777777" w:rsidR="0039517C" w:rsidRDefault="00000000">
      <w:pPr>
        <w:pStyle w:val="31"/>
        <w:spacing w:after="40" w:before="0"/>
        <w:rPr>
          <w:lang w:eastAsia="zh-TW"/>
        </w:rPr>
      </w:pPr>
      <w:r>
        <w:t>02  Lipase in pancreatic juice: chemical digestion</w:t>
      </w:r>
    </w:p>
    <w:p w14:paraId="3BEE1F97" w14:textId="77777777" w:rsidR="0039517C" w:rsidRDefault="00000000">
      <w:pPr>
        <w:spacing w:after="40" w:before="0"/>
        <w:rPr>
          <w:lang w:eastAsia="zh-TW"/>
        </w:rPr>
      </w:pPr>
      <w:r>
        <w:rPr>
          <w:sz w:val="24"/>
        </w:rPr>
      </w:r>
      <w:r>
        <w:rPr>
          <w:b/>
          <w:color w:val="B7312C"/>
          <w:sz w:val="24"/>
        </w:rPr>
        <w:t>Pancreatic juice</w:t>
      </w:r>
      <w:r>
        <w:rPr>
          <w:sz w:val="24"/>
        </w:rPr>
        <w:t xml:space="preserve"> containing </w:t>
      </w:r>
      <w:r>
        <w:rPr>
          <w:b/>
          <w:color w:val="B7312C"/>
          <w:sz w:val="24"/>
        </w:rPr>
        <w:t>lipase</w:t>
      </w:r>
      <w:r>
        <w:rPr>
          <w:sz w:val="24"/>
        </w:rPr>
        <w:t xml:space="preserve">. </w:t>
      </w:r>
      <w:r>
        <w:rPr>
          <w:b/>
          <w:color w:val="B7312C"/>
          <w:sz w:val="24"/>
        </w:rPr>
        <w:t>Lipase</w:t>
      </w:r>
      <w:r>
        <w:rPr>
          <w:sz w:val="24"/>
        </w:rPr>
        <w:t xml:space="preserve"> catalyses </w:t>
      </w:r>
      <w:r>
        <w:rPr>
          <w:b/>
          <w:color w:val="B7312C"/>
          <w:sz w:val="24"/>
        </w:rPr>
        <w:t>chemical digestion</w:t>
      </w:r>
      <w:r>
        <w:rPr>
          <w:sz w:val="24"/>
        </w:rPr>
        <w:t xml:space="preserve"> of lipids.</w:t>
      </w:r>
      <w:r>
        <w:rPr>
          <w:b/>
          <w:color w:val="B7312C"/>
          <w:sz w:val="24"/>
        </w:rPr>
      </w:r>
      <w:r>
        <w:rPr>
          <w:sz w:val="24"/>
        </w:rPr>
      </w:r>
      <w:r>
        <w:rPr>
          <w:b/>
          <w:color w:val="B7312C"/>
          <w:sz w:val="24"/>
        </w:rPr>
      </w:r>
      <w:r>
        <w:rPr>
          <w:sz w:val="24"/>
        </w:rPr>
      </w:r>
      <w:r>
        <w:rPr>
          <w:b/>
          <w:color w:val="B7312C"/>
          <w:sz w:val="24"/>
        </w:rPr>
      </w:r>
      <w:r>
        <w:rPr>
          <w:sz w:val="24"/>
        </w:rPr>
        <w:t xml:space="preserve"> </w:t>
      </w:r>
      <w:r>
        <w:rPr>
          <w:b/>
          <w:color w:val="B7312C"/>
          <w:sz w:val="24"/>
        </w:rPr>
        <w:t>Lipase</w:t>
      </w:r>
      <w:r>
        <w:rPr>
          <w:sz w:val="24"/>
        </w:rPr>
        <w:t xml:space="preserve"> is a </w:t>
      </w:r>
      <w:r>
        <w:rPr>
          <w:b/>
          <w:color w:val="B7312C"/>
          <w:sz w:val="24"/>
        </w:rPr>
        <w:t>protein</w:t>
      </w:r>
      <w:r>
        <w:rPr>
          <w:sz w:val="24"/>
        </w:rPr>
        <w:t xml:space="preserve">; high heat can </w:t>
      </w:r>
      <w:r>
        <w:rPr>
          <w:b/>
          <w:color w:val="B7312C"/>
          <w:sz w:val="24"/>
        </w:rPr>
        <w:t>denature</w:t>
      </w:r>
      <w:r>
        <w:rPr>
          <w:sz w:val="24"/>
        </w:rPr>
        <w:t xml:space="preserve"> it and stop it working.</w:t>
      </w:r>
    </w:p>
    <w:p w14:paraId="393EBD05" w14:textId="77777777" w:rsidR="0039517C" w:rsidRDefault="00000000">
      <w:pPr>
        <w:spacing w:after="40" w:line="240" w:lineRule="auto" w:before="0"/>
        <w:jc w:val="center"/>
      </w:pPr>
      <w:r>
        <w:rPr>
          <w:noProof/>
        </w:rPr>
        <w:drawing>
          <wp:inline distT="0" distB="0" distL="0" distR="0" wp14:anchorId="1CD0D4FD" wp14:editId="1287A788">
            <wp:extent cx="6480000" cy="208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ydrolysis.png"/>
                    <pic:cNvPicPr/>
                  </pic:nvPicPr>
                  <pic:blipFill>
                    <a:blip r:embed="rId16"/>
                    <a:stretch>
                      <a:fillRect/>
                    </a:stretch>
                  </pic:blipFill>
                  <pic:spPr>
                    <a:xfrm>
                      <a:off x="0" y="0"/>
                      <a:ext cx="6480000" cy="2088000"/>
                    </a:xfrm>
                    <a:prstGeom prst="rect">
                      <a:avLst/>
                    </a:prstGeom>
                  </pic:spPr>
                </pic:pic>
              </a:graphicData>
            </a:graphic>
          </wp:inline>
        </w:drawing>
      </w:r>
    </w:p>
    <w:p>
      <w:pPr>
        <w:pageBreakBefore/>
      </w:pPr>
      <w:r>
        <w:rPr>
          <w:sz w:val="24"/>
        </w:rPr>
        <w:t>Context: lipids need digestion before absorption. What happens after adding digestive juice X or Y?</w:t>
      </w:r>
    </w:p>
    <w:p>
      <w:pPr>
        <w:spacing w:line="240" w:lineRule="auto" w:after="60"/>
      </w:pPr>
      <w:r>
        <w:drawing>
          <wp:inline xmlns:a="http://schemas.openxmlformats.org/drawingml/2006/main" xmlns:pic="http://schemas.openxmlformats.org/drawingml/2006/picture">
            <wp:extent cx="5760000" cy="1382400"/>
            <wp:docPr id="1" name="Picture 1"/>
            <wp:cNvGraphicFramePr>
              <a:graphicFrameLocks noChangeAspect="1"/>
            </wp:cNvGraphicFramePr>
            <a:graphic>
              <a:graphicData uri="http://schemas.openxmlformats.org/drawingml/2006/picture">
                <pic:pic>
                  <pic:nvPicPr>
                    <pic:cNvPr id="0" name="scenario.png"/>
                    <pic:cNvPicPr/>
                  </pic:nvPicPr>
                  <pic:blipFill>
                    <a:blip r:embed="rId11"/>
                    <a:stretch>
                      <a:fillRect/>
                    </a:stretch>
                  </pic:blipFill>
                  <pic:spPr>
                    <a:xfrm>
                      <a:off x="0" y="0"/>
                      <a:ext cx="5760000" cy="1382400"/>
                    </a:xfrm>
                    <a:prstGeom prst="rect"/>
                  </pic:spPr>
                </pic:pic>
              </a:graphicData>
            </a:graphic>
          </wp:inline>
        </w:drawing>
      </w:r>
    </w:p>
    <w:p>
      <w:pPr>
        <w:pStyle w:val="Heading2"/>
      </w:pPr>
      <w:r>
        <w:rPr/>
        <w:t>Part 1 | Context and fair comparisons</w:t>
      </w:r>
    </w:p>
    <w:p>
      <w:r>
        <w:rPr>
          <w:sz w:val="24"/>
        </w:rPr>
        <w:t>Researchers added 2 mL X or 2 mL Y to identical oil–water mixtures, shook them identically at 37°C, and compared appearances after one hour.</w:t>
      </w:r>
    </w:p>
    <w:p>
      <w:pPr>
        <w:pStyle w:val="Heading2"/>
      </w:pPr>
      <w:r>
        <w:rPr/>
        <w:t>1. Identify the variables</w:t>
      </w:r>
    </w:p>
    <w:p>
      <w:r>
        <w:rPr>
          <w:sz w:val="24"/>
        </w:rPr>
        <w:t>Tick the appropriate factors in each row. You may choose more than one.</w:t>
      </w:r>
    </w:p>
    <w:tbl>
      <w:tblPr>
        <w:tblStyle w:val="TableGrid"/>
        <w:tblW w:type="auto" w:w="0"/>
        <w:tblLayout w:type="fixed"/>
        <w:tblLook w:firstColumn="1" w:firstRow="1" w:lastColumn="0" w:lastRow="0" w:noHBand="0" w:noVBand="1" w:val="04A0"/>
      </w:tblPr>
      <w:tblGrid>
        <w:gridCol w:w="2268"/>
        <w:gridCol w:w="7937"/>
      </w:tblGrid>
      <w:tr>
        <w:tc>
          <w:tcPr>
            <w:tcW w:type="dxa" w:w="5103"/>
          </w:tcPr>
          <w:p>
            <w:r>
              <w:t>Variable type</w:t>
            </w:r>
          </w:p>
        </w:tc>
        <w:tc>
          <w:tcPr>
            <w:tcW w:type="dxa" w:w="5103"/>
          </w:tcPr>
          <w:p>
            <w:r>
              <w:t>Factors to choose from</w:t>
            </w:r>
          </w:p>
        </w:tc>
      </w:tr>
      <w:tr>
        <w:tc>
          <w:tcPr>
            <w:tcW w:type="dxa" w:w="2268"/>
          </w:tcPr>
          <w:p>
            <w:pPr>
              <w:spacing w:line="288" w:lineRule="auto" w:after="60"/>
            </w:pPr>
            <w:r>
              <w:rPr>
                <w:b/>
                <w:color w:val="B7312C"/>
              </w:rPr>
              <w:t>Independent variable</w:t>
            </w:r>
            <w:r>
              <w:br/>
              <w:t>Factor changed</w:t>
            </w:r>
          </w:p>
        </w:tc>
        <w:tc>
          <w:tcPr>
            <w:tcW w:type="dxa" w:w="7937"/>
          </w:tcPr>
          <w:p>
            <w:pPr>
              <w:spacing w:line="288" w:lineRule="auto" w:after="60"/>
            </w:pPr>
            <w:r>
              <w:rPr>
                <w:sz w:val="24"/>
              </w:rPr>
              <w:t>□ Total volume of oil and water</w:t>
            </w:r>
            <w:r>
              <w:rPr>
                <w:sz w:val="24"/>
              </w:rPr>
              <w:t xml:space="preserve">  □ Reaction temperature</w:t>
            </w:r>
            <w:r>
              <w:rPr>
                <w:sz w:val="24"/>
              </w:rPr>
              <w:br/>
              <w:t>□ Reaction time</w:t>
            </w:r>
            <w:r>
              <w:rPr>
                <w:sz w:val="24"/>
              </w:rPr>
              <w:t xml:space="preserve">  □ Total volume of liquid added</w:t>
            </w:r>
            <w:r>
              <w:rPr>
                <w:sz w:val="24"/>
              </w:rPr>
              <w:br/>
              <w:t>□ Method of shaking</w:t>
            </w:r>
            <w:r>
              <w:rPr>
                <w:sz w:val="24"/>
              </w:rPr>
              <w:t xml:space="preserve">  □ Appearance of the mixture</w:t>
            </w:r>
            <w:r>
              <w:rPr>
                <w:sz w:val="24"/>
              </w:rPr>
              <w:br/>
              <w:t>□ Combination of digestive juices</w:t>
            </w:r>
          </w:p>
        </w:tc>
      </w:tr>
      <w:tr>
        <w:tc>
          <w:tcPr>
            <w:tcW w:type="dxa" w:w="2268"/>
          </w:tcPr>
          <w:p>
            <w:pPr>
              <w:spacing w:line="288" w:lineRule="auto" w:after="60"/>
            </w:pPr>
            <w:r>
              <w:rPr>
                <w:b/>
                <w:color w:val="B7312C"/>
              </w:rPr>
              <w:t>Dependent variable</w:t>
            </w:r>
            <w:r>
              <w:br/>
              <w:t>Outcome measured</w:t>
            </w:r>
          </w:p>
        </w:tc>
        <w:tc>
          <w:tcPr>
            <w:tcW w:type="dxa" w:w="7937"/>
          </w:tcPr>
          <w:p>
            <w:pPr>
              <w:spacing w:line="288" w:lineRule="auto" w:after="60"/>
            </w:pPr>
            <w:r>
              <w:rPr>
                <w:sz w:val="24"/>
              </w:rPr>
              <w:t>□ Total volume of oil and water</w:t>
            </w:r>
            <w:r>
              <w:rPr>
                <w:sz w:val="24"/>
              </w:rPr>
              <w:t xml:space="preserve">  □ Reaction temperature</w:t>
            </w:r>
            <w:r>
              <w:rPr>
                <w:sz w:val="24"/>
              </w:rPr>
              <w:br/>
              <w:t>□ Reaction time</w:t>
            </w:r>
            <w:r>
              <w:rPr>
                <w:sz w:val="24"/>
              </w:rPr>
              <w:t xml:space="preserve">  □ Total volume of liquid added</w:t>
            </w:r>
            <w:r>
              <w:rPr>
                <w:sz w:val="24"/>
              </w:rPr>
              <w:br/>
              <w:t>□ Method of shaking</w:t>
            </w:r>
            <w:r>
              <w:rPr>
                <w:sz w:val="24"/>
              </w:rPr>
              <w:t xml:space="preserve">  □ Appearance of the mixture</w:t>
            </w:r>
            <w:r>
              <w:rPr>
                <w:sz w:val="24"/>
              </w:rPr>
              <w:br/>
              <w:t>□ Combination of digestive juices</w:t>
            </w:r>
          </w:p>
        </w:tc>
      </w:tr>
      <w:tr>
        <w:tc>
          <w:tcPr>
            <w:tcW w:type="dxa" w:w="2268"/>
          </w:tcPr>
          <w:p>
            <w:pPr>
              <w:spacing w:line="288" w:lineRule="auto" w:after="60"/>
            </w:pPr>
            <w:r>
              <w:rPr>
                <w:b/>
                <w:color w:val="B7312C"/>
              </w:rPr>
              <w:t>Controlled variables</w:t>
            </w:r>
            <w:r>
              <w:br/>
              <w:t>Kept the same</w:t>
            </w:r>
          </w:p>
        </w:tc>
        <w:tc>
          <w:tcPr>
            <w:tcW w:type="dxa" w:w="7937"/>
          </w:tcPr>
          <w:p>
            <w:pPr>
              <w:spacing w:line="288" w:lineRule="auto" w:after="60"/>
            </w:pPr>
            <w:r>
              <w:rPr>
                <w:sz w:val="24"/>
              </w:rPr>
              <w:t>□ Total volume of oil and water</w:t>
            </w:r>
            <w:r>
              <w:rPr>
                <w:sz w:val="24"/>
              </w:rPr>
              <w:t xml:space="preserve">  □ Reaction temperature</w:t>
            </w:r>
            <w:r>
              <w:rPr>
                <w:sz w:val="24"/>
              </w:rPr>
              <w:br/>
              <w:t>□ Reaction time</w:t>
            </w:r>
            <w:r>
              <w:rPr>
                <w:sz w:val="24"/>
              </w:rPr>
              <w:t xml:space="preserve">  □ Total volume of liquid added</w:t>
            </w:r>
            <w:r>
              <w:rPr>
                <w:sz w:val="24"/>
              </w:rPr>
              <w:br/>
              <w:t>□ Method of shaking</w:t>
            </w:r>
            <w:r>
              <w:rPr>
                <w:sz w:val="24"/>
              </w:rPr>
              <w:t xml:space="preserve">  □ Appearance of the mixture</w:t>
            </w:r>
            <w:r>
              <w:rPr>
                <w:sz w:val="24"/>
              </w:rPr>
              <w:br/>
              <w:t>□ Combination of digestive juices</w:t>
            </w:r>
          </w:p>
        </w:tc>
      </w:tr>
    </w:tbl>
    <w:p>
      <w:pPr>
        <w:pStyle w:val="Heading2"/>
      </w:pPr>
      <w:r>
        <w:rPr/>
        <w:t>2. Select the assumptions for a fair comparison (choose all that apply)</w:t>
      </w:r>
    </w:p>
    <w:p>
      <w:r>
        <w:rPr>
          <w:color w:val="658087"/>
          <w:sz w:val="22"/>
        </w:rPr>
        <w:t>(An assumption is a condition we have not proved but take as true, to help make the experiment results valid.)</w:t>
      </w:r>
    </w:p>
    <w:p>
      <w:r>
        <w:rPr>
          <w:sz w:val="24"/>
        </w:rPr>
        <w:t>□ All sets start with the same amounts of oil and water, and receive the same total volume of added liquid.</w:t>
      </w:r>
    </w:p>
    <w:p>
      <w:r>
        <w:rPr>
          <w:sz w:val="24"/>
        </w:rPr>
        <w:t>□ The X setup may receive more total liquid than the Y setup.</w:t>
      </w:r>
    </w:p>
    <w:p>
      <w:r>
        <w:rPr>
          <w:sz w:val="24"/>
        </w:rPr>
        <w:t>□ All sets are shaken in the same way.</w:t>
      </w:r>
    </w:p>
    <w:p>
      <w:r>
        <w:rPr>
          <w:sz w:val="24"/>
        </w:rPr>
        <w:t>□ All sets are observed after the same reaction time.</w:t>
      </w:r>
    </w:p>
    <w:p>
      <w:pPr>
        <w:pStyle w:val="Heading2"/>
        <w:pageBreakBefore/>
      </w:pPr>
      <w:r>
        <w:rPr/>
        <w:t>3. Design a control group</w:t>
      </w:r>
    </w:p>
    <w:p>
      <w:r>
        <w:rPr>
          <w:sz w:val="24"/>
        </w:rPr>
        <w:t>Does this experiment need a control group? If so, how would you design the comparison setup?</w:t>
      </w:r>
    </w:p>
    <w:p>
      <w:r>
        <w:rPr>
          <w:color w:val="658087"/>
          <w:sz w:val="22"/>
        </w:rPr>
        <w:t>(Hint: A control group provides a starting point for comparison. It helps you check that changes are caused by the independent variable, rather than other outside factors. The control group therefore does not receive the treatment being tested.)</w:t>
      </w:r>
    </w:p>
    <w:p>
      <w:pPr>
        <w:spacing w:line="520" w:lineRule="exact" w:after="0"/>
        <w:pBdr>
          <w:bottom w:val="single" w:color="333333" w:sz="8"/>
          <w:between w:val="single" w:color="333333" w:sz="8"/>
        </w:pBdr>
      </w:pPr>
      <w:r>
        <w:rPr>
          <w:sz w:val="24"/>
        </w:rPr>
      </w:r>
    </w:p>
    <w:p>
      <w:pPr>
        <w:spacing w:line="520" w:lineRule="exact" w:after="0"/>
        <w:pBdr>
          <w:bottom w:val="single" w:color="333333" w:sz="8"/>
          <w:between w:val="single" w:color="333333" w:sz="8"/>
        </w:pBdr>
      </w:pPr>
      <w:r>
        <w:rPr>
          <w:sz w:val="24"/>
        </w:rPr>
      </w:r>
    </w:p>
    <w:p>
      <w:pPr>
        <w:pStyle w:val="Heading2"/>
      </w:pPr>
      <w:r>
        <w:rPr/>
        <w:t>Part 2.1 | Analyse the individual actions of X and Y</w:t>
      </w:r>
    </w:p>
    <w:p>
      <w:r>
        <w:rPr>
          <w:sz w:val="24"/>
        </w:rPr>
        <w:t>Model results one hour after shaking.</w:t>
      </w:r>
    </w:p>
    <w:p>
      <w:pPr>
        <w:spacing w:line="240" w:lineRule="auto" w:after="60"/>
      </w:pPr>
      <w:r>
        <w:drawing>
          <wp:inline xmlns:a="http://schemas.openxmlformats.org/drawingml/2006/main" xmlns:pic="http://schemas.openxmlformats.org/drawingml/2006/picture">
            <wp:extent cx="5760000" cy="1536000"/>
            <wp:docPr id="2" name="Picture 2"/>
            <wp:cNvGraphicFramePr>
              <a:graphicFrameLocks noChangeAspect="1"/>
            </wp:cNvGraphicFramePr>
            <a:graphic>
              <a:graphicData uri="http://schemas.openxmlformats.org/drawingml/2006/picture">
                <pic:pic>
                  <pic:nvPicPr>
                    <pic:cNvPr id="0" name="main.png"/>
                    <pic:cNvPicPr/>
                  </pic:nvPicPr>
                  <pic:blipFill>
                    <a:blip r:embed="rId12"/>
                    <a:stretch>
                      <a:fillRect/>
                    </a:stretch>
                  </pic:blipFill>
                  <pic:spPr>
                    <a:xfrm>
                      <a:off x="0" y="0"/>
                      <a:ext cx="5760000" cy="1536000"/>
                    </a:xfrm>
                    <a:prstGeom prst="rect"/>
                  </pic:spPr>
                </pic:pic>
              </a:graphicData>
            </a:graphic>
          </wp:inline>
        </w:drawing>
      </w:r>
    </w:p>
    <w:p>
      <w:pPr>
        <w:pStyle w:val="Heading2"/>
      </w:pPr>
      <w:r>
        <w:rPr/>
        <w:t>4. What does digestive juice X do?</w:t>
      </w:r>
    </w:p>
    <w:p>
      <w:r>
        <w:rPr>
          <w:sz w:val="24"/>
        </w:rPr>
      </w:r>
      <w:r>
        <w:rPr>
          <w:sz w:val="24"/>
        </w:rPr>
        <w:t>Digestive juice X mainly causes lipids to form a (</w:t>
      </w:r>
      <w:r>
        <w:rPr>
          <w:sz w:val="24"/>
        </w:rPr>
        <w:t>cloudy emulsion</w:t>
      </w:r>
      <w:r>
        <w:rPr>
          <w:sz w:val="24"/>
        </w:rPr>
        <w:t xml:space="preserve"> / clear solution).</w:t>
      </w:r>
    </w:p>
    <w:p>
      <w:pPr>
        <w:pStyle w:val="Heading2"/>
      </w:pPr>
      <w:r>
        <w:rPr/>
        <w:t>Part 2.2 | Analyse how X helps Y act</w:t>
      </w:r>
    </w:p>
    <w:p>
      <w:r>
        <w:rPr>
          <w:sz w:val="24"/>
        </w:rPr>
        <w:t>Two fresh tubes received 1 mL X or water and identical shaking, then 1 mL Y each. Results show one hour later.</w:t>
      </w:r>
    </w:p>
    <w:p>
      <w:pPr>
        <w:spacing w:line="240" w:lineRule="auto" w:after="60"/>
      </w:pPr>
      <w:r>
        <w:drawing>
          <wp:inline xmlns:a="http://schemas.openxmlformats.org/drawingml/2006/main" xmlns:pic="http://schemas.openxmlformats.org/drawingml/2006/picture">
            <wp:extent cx="5760000" cy="1728000"/>
            <wp:docPr id="3" name="Picture 3"/>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760000" cy="1728000"/>
                    </a:xfrm>
                    <a:prstGeom prst="rect"/>
                  </pic:spPr>
                </pic:pic>
              </a:graphicData>
            </a:graphic>
          </wp:inline>
        </w:drawing>
      </w:r>
    </w:p>
    <w:p>
      <w:pPr>
        <w:pStyle w:val="Heading2"/>
      </w:pPr>
      <w:r>
        <w:rPr/>
        <w:t>5. How does digestive juice X help Y act?</w:t>
      </w:r>
    </w:p>
    <w:p>
      <w:r>
        <w:rPr>
          <w:sz w:val="24"/>
        </w:rPr>
      </w:r>
      <w:r>
        <w:rPr>
          <w:sz w:val="24"/>
        </w:rPr>
        <w:t>X disperses large oil droplets into small droplets. Their total surface area (</w:t>
      </w:r>
      <w:r>
        <w:rPr>
          <w:sz w:val="24"/>
        </w:rPr>
        <w:t>increases</w:t>
      </w:r>
      <w:r>
        <w:rPr>
          <w:sz w:val="24"/>
        </w:rPr>
        <w:t xml:space="preserve"> / decreases), helping Y act.</w:t>
      </w:r>
    </w:p>
    <w:p>
      <w:pPr>
        <w:pStyle w:val="Heading2"/>
        <w:pageBreakBefore/>
      </w:pPr>
      <w:r>
        <w:rPr/>
        <w:t>6. What can this experiment tell us?</w:t>
      </w:r>
    </w:p>
    <w:p>
      <w:r>
        <w:rPr>
          <w:sz w:val="24"/>
        </w:rPr>
        <w:t>We observed only the oil layer, cloudiness or clarity, without testing digestion products. Which statement is most appropriate? (Circle the correct answer.)</w:t>
      </w:r>
    </w:p>
    <w:p>
      <w:r>
        <w:rPr>
          <w:sz w:val="24"/>
        </w:rPr>
        <w:t>A. Appearance gives clues about the juices, but alone cannot prove that glycerol and fatty acids have formed.</w:t>
      </w:r>
    </w:p>
    <w:p>
      <w:r>
        <w:rPr>
          <w:sz w:val="24"/>
        </w:rPr>
        <w:t>B. A clear mixture fully proves that lipids have broken down into glycerol and fatty acids.</w:t>
      </w:r>
    </w:p>
    <w:p>
      <w:pPr>
        <w:pStyle w:val="Heading2"/>
      </w:pPr>
      <w:r>
        <w:rPr/>
        <w:t>Part 2.3 | Effects of heating the juices</w:t>
      </w:r>
    </w:p>
    <w:p>
      <w:r>
        <w:rPr>
          <w:sz w:val="24"/>
        </w:rPr>
        <w:t>Use unboiled X then Y as the baseline. Boil one juice, cool to 37°C, then add 1 mL each of X and Y in the same order. Compare after one hour.</w:t>
      </w:r>
    </w:p>
    <w:p>
      <w:pPr>
        <w:spacing w:line="240" w:lineRule="auto" w:after="60"/>
      </w:pPr>
      <w:r>
        <w:drawing>
          <wp:inline xmlns:a="http://schemas.openxmlformats.org/drawingml/2006/main" xmlns:pic="http://schemas.openxmlformats.org/drawingml/2006/picture">
            <wp:extent cx="6480000" cy="2073600"/>
            <wp:docPr id="4" name="Picture 4"/>
            <wp:cNvGraphicFramePr>
              <a:graphicFrameLocks noChangeAspect="1"/>
            </wp:cNvGraphicFramePr>
            <a:graphic>
              <a:graphicData uri="http://schemas.openxmlformats.org/drawingml/2006/picture">
                <pic:pic>
                  <pic:nvPicPr>
                    <pic:cNvPr id="0" name="heat.png"/>
                    <pic:cNvPicPr/>
                  </pic:nvPicPr>
                  <pic:blipFill>
                    <a:blip r:embed="rId14"/>
                    <a:stretch>
                      <a:fillRect/>
                    </a:stretch>
                  </pic:blipFill>
                  <pic:spPr>
                    <a:xfrm>
                      <a:off x="0" y="0"/>
                      <a:ext cx="6480000" cy="2073600"/>
                    </a:xfrm>
                    <a:prstGeom prst="rect"/>
                  </pic:spPr>
                </pic:pic>
              </a:graphicData>
            </a:graphic>
          </wp:inline>
        </w:drawing>
      </w:r>
    </w:p>
    <w:p>
      <w:pPr>
        <w:pStyle w:val="Heading2"/>
      </w:pPr>
      <w:r>
        <w:rPr/>
        <w:t>7. Extension conclusion</w:t>
      </w:r>
    </w:p>
    <w:p>
      <w:r>
        <w:rPr>
          <w:sz w:val="24"/>
        </w:rPr>
      </w:r>
      <w:r>
        <w:rPr>
          <w:sz w:val="24"/>
        </w:rPr>
        <w:t xml:space="preserve">The juice that loses its action after boiling is (digestive juice X / </w:t>
      </w:r>
      <w:r>
        <w:rPr>
          <w:sz w:val="24"/>
        </w:rPr>
        <w:t>digestive juice Y</w:t>
      </w:r>
      <w:r>
        <w:rPr>
          <w:sz w:val="24"/>
        </w:rPr>
        <w:t>).</w:t>
      </w:r>
    </w:p>
    <w:p>
      <w:pPr>
        <w:pStyle w:val="Heading2"/>
      </w:pPr>
      <w:r>
        <w:rPr/>
        <w:t>Part 3 | Integrated explanation</w:t>
      </w:r>
    </w:p>
    <w:p>
      <w:r>
        <w:rPr>
          <w:sz w:val="24"/>
        </w:rPr>
        <w:t>8. Using the experimental results and topic notes, explain how bile and lipase in pancreatic juice work together to help digest lipids, and how boiling affects their actions.</w:t>
      </w:r>
    </w:p>
    <w:p>
      <w:pPr>
        <w:spacing w:line="520" w:lineRule="exact" w:after="0"/>
        <w:pBdr>
          <w:bottom w:val="single" w:color="333333" w:sz="8"/>
          <w:between w:val="single" w:color="333333" w:sz="8"/>
        </w:pBdr>
      </w:pPr>
      <w:r>
        <w:rPr>
          <w:sz w:val="24"/>
        </w:rPr>
      </w:r>
    </w:p>
    <w:p>
      <w:pPr>
        <w:spacing w:line="520" w:lineRule="exact" w:after="0"/>
        <w:pBdr>
          <w:bottom w:val="single" w:color="333333" w:sz="8"/>
          <w:between w:val="single" w:color="333333" w:sz="8"/>
        </w:pBdr>
      </w:pPr>
      <w:r>
        <w:rPr>
          <w:sz w:val="24"/>
        </w:rPr>
      </w:r>
    </w:p>
    <w:p>
      <w:pPr>
        <w:spacing w:line="520" w:lineRule="exact" w:after="0"/>
        <w:pBdr>
          <w:bottom w:val="single" w:color="333333" w:sz="8"/>
          <w:between w:val="single" w:color="333333" w:sz="8"/>
        </w:pBdr>
      </w:pPr>
      <w:r>
        <w:rPr>
          <w:sz w:val="24"/>
        </w:rPr>
      </w:r>
    </w:p>
    <w:p>
      <w:pPr>
        <w:spacing w:line="520" w:lineRule="exact" w:after="0"/>
        <w:pBdr>
          <w:bottom w:val="single" w:color="333333" w:sz="8"/>
          <w:between w:val="single" w:color="333333" w:sz="8"/>
        </w:pBdr>
      </w:pPr>
      <w:r>
        <w:rPr>
          <w:sz w:val="24"/>
        </w:rPr>
      </w:r>
    </w:p>
    <w:p>
      <w:pPr>
        <w:spacing w:line="520" w:lineRule="exact" w:after="0"/>
        <w:pBdr>
          <w:bottom w:val="single" w:color="333333" w:sz="8"/>
          <w:between w:val="single" w:color="333333" w:sz="8"/>
        </w:pBdr>
      </w:pPr>
      <w:r>
        <w:rPr>
          <w:sz w:val="24"/>
        </w:rPr>
      </w:r>
    </w:p>
    <w:sectPr w:rsidR="00FC693F" w:rsidRPr="0006063C" w:rsidSect="00034616">
      <w:headerReference w:type="default" r:id="rId9"/>
      <w:footerReference w:type="default" r:id="rId10"/>
      <w:pgSz w:w="11906" w:h="16838"/>
      <w:pgMar w:top="794" w:right="850" w:bottom="794" w:left="85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Worksheet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22"/>
      </w:rPr>
      <w:t>Biology | Lipid digestion: concepts and applications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0" w:lineRule="exact" w:before="0" w:after="80"/>
    </w:pPr>
    <w:rPr>
      <w:rFonts w:ascii="Arial" w:hAnsi="Arial" w:eastAsia="Noto Sans CJK T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line="450" w:lineRule="exact"/>
      <w:outlineLvl w:val="0"/>
    </w:pPr>
    <w:rPr>
      <w:rFonts w:asciiTheme="majorHAnsi" w:eastAsiaTheme="majorEastAsia" w:hAnsiTheme="majorHAnsi" w:cstheme="majorBidi" w:ascii="Arial" w:hAnsi="Arial" w:eastAsia="Noto Sans CJK TC"/>
      <w:b/>
      <w:bCs/>
      <w:color w:val="25666A"/>
      <w:sz w:val="30"/>
      <w:szCs w:val="28"/>
    </w:rPr>
  </w:style>
  <w:style w:type="paragraph" w:styleId="Heading2">
    <w:name w:val="heading 2"/>
    <w:basedOn w:val="Normal"/>
    <w:next w:val="Normal"/>
    <w:link w:val="Heading2Char"/>
    <w:uiPriority w:val="9"/>
    <w:unhideWhenUsed/>
    <w:qFormat/>
    <w:rsid w:val="00FC693F"/>
    <w:pPr>
      <w:keepNext/>
      <w:keepLines/>
      <w:spacing w:before="80" w:after="80" w:line="390" w:lineRule="exact"/>
      <w:outlineLvl w:val="1"/>
    </w:pPr>
    <w:rPr>
      <w:rFonts w:asciiTheme="majorHAnsi" w:eastAsiaTheme="majorEastAsia" w:hAnsiTheme="majorHAnsi" w:cstheme="majorBidi" w:ascii="Arial" w:hAnsi="Arial" w:eastAsia="Noto Sans CJK TC"/>
      <w:b/>
      <w:bCs/>
      <w:color w:val="2566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21">
    <w:name w:val="Reference Heading 2"/>
    <w:basedOn w:val="a1"/>
    <w:next w:val="a1"/>
    <w:link w:val="22"/>
    <w:uiPriority w:val="9"/>
    <w:unhideWhenUsed/>
    <w:qFormat/>
    <w:rsid w:val="00FC693F"/>
    <w:pPr>
      <w:keepNext/>
      <w:keepLines/>
      <w:spacing w:before="120" w:line="276" w:lineRule="auto"/>
      <w:outlineLvl w:val="1"/>
    </w:pPr>
    <w:rPr>
      <w:rFonts w:asciiTheme="majorHAnsi" w:eastAsiaTheme="majorEastAsia" w:hAnsiTheme="majorHAnsi" w:cstheme="majorBidi" w:ascii="Arial" w:hAnsi="Arial"/>
      <w:b/>
      <w:bCs/>
      <w:color w:val="245D60"/>
      <w:szCs w:val="26"/>
    </w:rPr>
  </w:style>
  <w:style w:type="paragraph" w:styleId="31">
    <w:name w:val="Reference Heading 3"/>
    <w:basedOn w:val="a1"/>
    <w:next w:val="a1"/>
    <w:link w:val="32"/>
    <w:uiPriority w:val="9"/>
    <w:unhideWhenUsed/>
    <w:qFormat/>
    <w:rsid w:val="00FC693F"/>
    <w:pPr>
      <w:keepNext/>
      <w:keepLines/>
      <w:spacing w:before="120" w:line="276" w:lineRule="auto"/>
      <w:outlineLvl w:val="2"/>
    </w:pPr>
    <w:rPr>
      <w:rFonts w:asciiTheme="majorHAnsi" w:eastAsiaTheme="majorEastAsia" w:hAnsiTheme="majorHAnsi" w:cstheme="majorBidi" w:ascii="Arial" w:hAnsi="Arial"/>
      <w:b/>
      <w:bCs/>
      <w:color w:val="245D60"/>
    </w:rPr>
  </w:style>
  <w:style w:type="paragraph" w:default="1" w:styleId="a1">
    <w:name w:val="Reference Normal"/>
    <w:qFormat/>
    <w:rsid w:val="00FC693F"/>
    <w:pPr>
      <w:spacing w:after="100" w:line="360" w:lineRule="auto"/>
    </w:pPr>
    <w:rPr>
      <w:rFonts w:ascii="Arial" w:eastAsia="Noto Sans CJK TC" w:hAnsi="Arial"/>
      <w:color w:val="202B2C"/>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1: Lipid Digestion — Concepts and Applications</dc:title>
  <dc:subject>deductive-5 | staged-4 experimental data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