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Unknown Digestive Juices X and Y</w:t>
      </w:r>
    </w:p>
    <w:p>
      <w:r>
        <w:rPr>
          <w:sz w:val="24"/>
        </w:rPr>
        <w:t>Name: ________________    Class: ________    No.: ________</w:t>
      </w:r>
    </w:p>
    <w:p>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1520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152000"/>
                    </a:xfrm>
                    <a:prstGeom prst="rect"/>
                  </pic:spPr>
                </pic:pic>
              </a:graphicData>
            </a:graphic>
          </wp:inline>
        </w:drawing>
      </w:r>
    </w:p>
    <w:p>
      <w:pPr>
        <w:pStyle w:val="Heading2"/>
      </w:pPr>
      <w:r>
        <w:rPr/>
        <w:t>Part 1 | Main investigation design: compare X and Y</w:t>
      </w:r>
    </w:p>
    <w:p>
      <w:r>
        <w:rPr>
          <w:sz w:val="24"/>
        </w:rPr>
        <w:t>Add 2 mL X or 2 mL Y to identical oil–water mixtures. Shake in the same way at 37°C; compare after one hour.</w:t>
      </w:r>
    </w:p>
    <w:p>
      <w:pPr>
        <w:pStyle w:val="Heading2"/>
      </w:pPr>
      <w:r>
        <w:rPr/>
        <w:t>1. Identify the variables: choose all appropriate factors in each row.</w:t>
      </w:r>
    </w:p>
    <w:p>
      <w:r>
        <w:rPr>
          <w:color w:val="658087"/>
          <w:sz w:val="22"/>
        </w:rPr>
        <w:t>IV(the factor changed on purpose)；DV(the result you measure or observe)；CV(the factors kept the same)</w:t>
      </w:r>
    </w:p>
    <w:tbl>
      <w:tblPr>
        <w:tblStyle w:val="TableGrid"/>
        <w:tblW w:type="auto" w:w="0"/>
        <w:tblLayout w:type="fixed"/>
        <w:tblLook w:firstColumn="1" w:firstRow="1" w:lastColumn="0" w:lastRow="0" w:noHBand="0" w:noVBand="1" w:val="04A0"/>
      </w:tblPr>
      <w:tblGrid>
        <w:gridCol w:w="1701"/>
        <w:gridCol w:w="8504"/>
      </w:tblGrid>
      <w:tr>
        <w:tc>
          <w:tcPr>
            <w:tcW w:type="dxa" w:w="1701"/>
          </w:tcPr>
          <w:p>
            <w:pPr>
              <w:spacing w:line="288" w:lineRule="auto" w:after="60"/>
            </w:pPr>
            <w:r>
              <w:rPr>
                <w:b/>
                <w:color w:val="B7312C"/>
              </w:rPr>
              <w:t>Independent variable</w:t>
            </w:r>
          </w:p>
        </w:tc>
        <w:tc>
          <w:tcPr>
            <w:tcW w:type="dxa" w:w="8504"/>
          </w:tcPr>
          <w:p>
            <w:pPr>
              <w:spacing w:line="288" w:lineRule="auto" w:after="60"/>
            </w:pPr>
            <w:r>
              <w:rPr>
                <w:sz w:val="24"/>
              </w:rPr>
              <w:t>Total volume of oil and water</w:t>
            </w:r>
            <w:r>
              <w:rPr>
                <w:sz w:val="24"/>
              </w:rPr>
              <w:t xml:space="preserve"> ／ Reaction temperature</w:t>
            </w:r>
            <w:r>
              <w:rPr>
                <w:sz w:val="24"/>
              </w:rPr>
              <w:t xml:space="preserve"> ／ Reaction time</w:t>
            </w:r>
            <w:r>
              <w:rPr>
                <w:sz w:val="24"/>
              </w:rPr>
              <w:t xml:space="preserve"> ／ Total volume of liquid added</w:t>
            </w:r>
            <w:r>
              <w:rPr>
                <w:sz w:val="24"/>
              </w:rPr>
              <w:t xml:space="preserve"> ／ Method of shaking</w:t>
            </w:r>
            <w:r>
              <w:rPr>
                <w:sz w:val="24"/>
              </w:rPr>
              <w:t xml:space="preserve"> ／ Appearance of the mixture</w:t>
            </w:r>
            <w:r>
              <w:rPr>
                <w:b/>
                <w:color w:val="145DA0"/>
                <w:sz w:val="24"/>
                <w:u w:val="single"/>
              </w:rPr>
              <w:t xml:space="preserve"> ／ Combination of digestive juices</w:t>
            </w:r>
          </w:p>
        </w:tc>
      </w:tr>
      <w:tr>
        <w:tc>
          <w:tcPr>
            <w:tcW w:type="dxa" w:w="1701"/>
          </w:tcPr>
          <w:p>
            <w:pPr>
              <w:spacing w:line="288" w:lineRule="auto" w:after="60"/>
            </w:pPr>
            <w:r>
              <w:rPr>
                <w:b/>
                <w:color w:val="B7312C"/>
              </w:rPr>
              <w:t>Dependent variable</w:t>
            </w:r>
          </w:p>
        </w:tc>
        <w:tc>
          <w:tcPr>
            <w:tcW w:type="dxa" w:w="8504"/>
          </w:tcPr>
          <w:p>
            <w:pPr>
              <w:spacing w:line="288" w:lineRule="auto" w:after="60"/>
            </w:pPr>
            <w:r>
              <w:rPr>
                <w:sz w:val="24"/>
              </w:rPr>
              <w:t>Total volume of oil and water</w:t>
            </w:r>
            <w:r>
              <w:rPr>
                <w:sz w:val="24"/>
              </w:rPr>
              <w:t xml:space="preserve"> ／ Reaction temperature</w:t>
            </w:r>
            <w:r>
              <w:rPr>
                <w:sz w:val="24"/>
              </w:rPr>
              <w:t xml:space="preserve"> ／ Reaction time</w:t>
            </w:r>
            <w:r>
              <w:rPr>
                <w:sz w:val="24"/>
              </w:rPr>
              <w:t xml:space="preserve"> ／ Total volume of liquid added</w:t>
            </w:r>
            <w:r>
              <w:rPr>
                <w:sz w:val="24"/>
              </w:rPr>
              <w:t xml:space="preserve"> ／ Method of shaking</w:t>
            </w:r>
            <w:r>
              <w:rPr>
                <w:b/>
                <w:color w:val="145DA0"/>
                <w:sz w:val="24"/>
                <w:u w:val="single"/>
              </w:rPr>
              <w:t xml:space="preserve"> ／ Appearance of the mixture</w:t>
            </w:r>
            <w:r>
              <w:rPr>
                <w:sz w:val="24"/>
              </w:rPr>
              <w:t xml:space="preserve"> ／ Combination of digestive juices</w:t>
            </w:r>
          </w:p>
        </w:tc>
      </w:tr>
      <w:tr>
        <w:tc>
          <w:tcPr>
            <w:tcW w:type="dxa" w:w="1701"/>
          </w:tcPr>
          <w:p>
            <w:pPr>
              <w:spacing w:line="288" w:lineRule="auto" w:after="60"/>
            </w:pPr>
            <w:r>
              <w:rPr>
                <w:b/>
                <w:color w:val="B7312C"/>
              </w:rPr>
              <w:t>Controlled variables</w:t>
            </w:r>
          </w:p>
        </w:tc>
        <w:tc>
          <w:tcPr>
            <w:tcW w:type="dxa" w:w="8504"/>
          </w:tcPr>
          <w:p>
            <w:pPr>
              <w:spacing w:line="288" w:lineRule="auto" w:after="60"/>
            </w:pPr>
            <w:r>
              <w:rPr>
                <w:b/>
                <w:color w:val="145DA0"/>
                <w:sz w:val="24"/>
                <w:u w:val="single"/>
              </w:rPr>
              <w:t>Total volume of oil and water</w:t>
            </w:r>
            <w:r>
              <w:rPr>
                <w:b/>
                <w:color w:val="145DA0"/>
                <w:sz w:val="24"/>
                <w:u w:val="single"/>
              </w:rPr>
              <w:t xml:space="preserve"> ／ Reaction temperature</w:t>
            </w:r>
            <w:r>
              <w:rPr>
                <w:b/>
                <w:color w:val="145DA0"/>
                <w:sz w:val="24"/>
                <w:u w:val="single"/>
              </w:rPr>
              <w:t xml:space="preserve"> ／ Reaction time</w:t>
            </w:r>
            <w:r>
              <w:rPr>
                <w:b/>
                <w:color w:val="145DA0"/>
                <w:sz w:val="24"/>
                <w:u w:val="single"/>
              </w:rPr>
              <w:t xml:space="preserve"> ／ Total volume of liquid added</w:t>
            </w:r>
            <w:r>
              <w:rPr>
                <w:b/>
                <w:color w:val="145DA0"/>
                <w:sz w:val="24"/>
                <w:u w:val="single"/>
              </w:rPr>
              <w:t xml:space="preserve"> ／ Method of shaking</w:t>
            </w:r>
            <w:r>
              <w:rPr>
                <w:sz w:val="24"/>
              </w:rPr>
              <w:t xml:space="preserve"> ／ Appearance of the mixture</w:t>
            </w:r>
            <w:r>
              <w:rPr>
                <w:sz w:val="24"/>
              </w:rPr>
              <w:t xml:space="preserve"> ／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b/>
          <w:color w:val="145DA0"/>
          <w:sz w:val="24"/>
        </w:rPr>
        <w:t>☑ Observe all setups after the same reaction time.</w:t>
      </w:r>
    </w:p>
    <w:p>
      <w:r>
        <w:rPr>
          <w:b/>
          <w:color w:val="145DA0"/>
          <w:sz w:val="24"/>
        </w:rPr>
        <w:t>☑ Use the same starting amounts of oil and water and the same total volume of added liquid in each setup.</w:t>
      </w:r>
    </w:p>
    <w:p>
      <w:r>
        <w:rPr>
          <w:b/>
          <w:color w:val="145DA0"/>
          <w:sz w:val="24"/>
        </w:rPr>
        <w:t>☑ Use the same method of shaking for every setup.</w:t>
      </w:r>
    </w:p>
    <w:p>
      <w:r>
        <w:rPr>
          <w:sz w:val="24"/>
        </w:rPr>
        <w:t>□ The X setup may receive more total liquid than the Y setup.</w:t>
      </w:r>
    </w:p>
    <w:p>
      <w:pPr>
        <w:pStyle w:val="Heading1"/>
        <w:pageBreakBefore/>
      </w:pPr>
      <w:r>
        <w:rPr/>
        <w:t>Part 1 | Main results and analysis</w:t>
      </w:r>
    </w:p>
    <w:p>
      <w:r>
        <w:rPr>
          <w:sz w:val="24"/>
        </w:rPr>
        <w:t>Both model results show one hour after adding the juice and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3. Appearance of X after one hour</w:t>
      </w:r>
    </w:p>
    <w:p>
      <w:r>
        <w:rPr>
          <w:b/>
          <w:color w:val="145DA0"/>
          <w:sz w:val="24"/>
        </w:rPr>
        <w:t>☑ a cloudy emulsion</w:t>
      </w:r>
    </w:p>
    <w:p>
      <w:r>
        <w:rPr>
          <w:sz w:val="24"/>
        </w:rPr>
        <w:t>□ The oil layer disappears</w:t>
      </w:r>
    </w:p>
    <w:p>
      <w:pPr>
        <w:pStyle w:val="Heading2"/>
      </w:pPr>
      <w:r>
        <w:rPr/>
        <w:t>4. Appearance of Y after one hour</w:t>
      </w:r>
    </w:p>
    <w:p>
      <w:r>
        <w:rPr>
          <w:b/>
          <w:color w:val="145DA0"/>
          <w:sz w:val="24"/>
        </w:rPr>
        <w:t>☑ Thinner oil layer, with two layers remaining</w:t>
      </w:r>
    </w:p>
    <w:p>
      <w:r>
        <w:rPr>
          <w:sz w:val="24"/>
        </w:rPr>
        <w:t>□ No obvious change in the oil layer</w:t>
      </w:r>
    </w:p>
    <w:p>
      <w:pPr>
        <w:pStyle w:val="Heading2"/>
      </w:pPr>
      <w:r>
        <w:rPr/>
        <w:t>Next: how might the emulsion formed by X affect the later action of Y?</w:t>
      </w:r>
    </w:p>
    <w:p>
      <w:r>
        <w:rPr>
          <w:sz w:val="24"/>
        </w:rPr>
        <w:t>Extension 1 uses two fresh tubes. Add X or an equal volume of water and shake, then add the same amount of Y. Both have the same pretreatment time.</w:t>
      </w:r>
    </w:p>
    <w:p>
      <w:pPr>
        <w:pStyle w:val="Heading2"/>
      </w:pPr>
      <w:r>
        <w:rPr/>
        <w:t>Part 2 | Extension 1: how does X help Y?</w:t>
      </w:r>
    </w:p>
    <w:p>
      <w:r>
        <w:rPr>
          <w:sz w:val="24"/>
        </w:rPr>
        <w:t>The following model results show one hour after adding Y.</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X help Y act?</w:t>
      </w:r>
    </w:p>
    <w:p>
      <w:r>
        <w:rPr>
          <w:sz w:val="24"/>
        </w:rPr>
        <w:t>X disperses large oil droplets into smaller droplets. The total surface area of the same amount of lipid:</w:t>
      </w:r>
    </w:p>
    <w:p>
      <w:r>
        <w:rPr>
          <w:b/>
          <w:color w:val="145DA0"/>
          <w:sz w:val="24"/>
        </w:rPr>
        <w:t>☑ increase</w:t>
      </w:r>
    </w:p>
    <w:p>
      <w:r>
        <w:rPr>
          <w:sz w:val="24"/>
        </w:rPr>
        <w:t>□ decrease</w:t>
      </w:r>
    </w:p>
    <w:p>
      <w:pPr>
        <w:pStyle w:val="Heading1"/>
        <w:pageBreakBefore/>
      </w:pPr>
      <w:r>
        <w:rPr/>
        <w:t>Part 2 | Extension 1: further analysis</w:t>
      </w:r>
    </w:p>
    <w:p>
      <w:pPr>
        <w:pStyle w:val="Heading2"/>
      </w:pPr>
      <w:r>
        <w:rPr/>
        <w:t>6. What does appearance tell us?</w:t>
      </w:r>
    </w:p>
    <w:p>
      <w:r>
        <w:rPr>
          <w:b/>
          <w:color w:val="145DA0"/>
          <w:sz w:val="24"/>
        </w:rPr>
        <w:t>☑ Appearance provides clues about the effects of digestive juices, but alone cannot prove that glycerol and fatty acids have formed.</w:t>
      </w:r>
    </w:p>
    <w:p>
      <w:r>
        <w:rPr>
          <w:sz w:val="24"/>
        </w:rPr>
        <w:t>□ Disappearance of the oil layer completely proves that lipids have broken down into glycerol and fatty acids.</w:t>
      </w:r>
    </w:p>
    <w:p>
      <w:pPr>
        <w:pStyle w:val="Heading2"/>
      </w:pPr>
      <w:r>
        <w:rPr/>
        <w:t>Part 3 | Extension 2: effects of boiling</w:t>
      </w:r>
    </w:p>
    <w:p>
      <w:r>
        <w:rPr>
          <w:sz w:val="24"/>
        </w:rPr>
        <w:t>Use unboiled X followed by Y from Extension 1 as the baseline. Boil one juice, cool to 37°C, then add 1 mL each of X and Y in the same order; observe after one hour.</w:t>
      </w:r>
    </w:p>
    <w:p>
      <w:pPr>
        <w:spacing w:line="240" w:lineRule="auto" w:after="60"/>
      </w:pPr>
      <w:r>
        <w:drawing>
          <wp:inline xmlns:a="http://schemas.openxmlformats.org/drawingml/2006/main" xmlns:pic="http://schemas.openxmlformats.org/drawingml/2006/picture">
            <wp:extent cx="5760000" cy="15360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5760000" cy="1536000"/>
                    </a:xfrm>
                    <a:prstGeom prst="rect"/>
                  </pic:spPr>
                </pic:pic>
              </a:graphicData>
            </a:graphic>
          </wp:inline>
        </w:drawing>
      </w:r>
    </w:p>
    <w:p>
      <w:pPr>
        <w:pStyle w:val="Heading2"/>
      </w:pPr>
      <w:r>
        <w:rPr/>
        <w:t>7. Which juice loses its action after boiling?</w:t>
      </w:r>
    </w:p>
    <w:p>
      <w:r>
        <w:rPr>
          <w:sz w:val="24"/>
        </w:rPr>
        <w:t>□ Digestive juice X</w:t>
      </w:r>
    </w:p>
    <w:p>
      <w:r>
        <w:rPr>
          <w:b/>
          <w:color w:val="145DA0"/>
          <w:sz w:val="24"/>
        </w:rPr>
        <w:t>☑ Digestive juice Y</w:t>
      </w:r>
    </w:p>
    <w:p>
      <w:pPr>
        <w:pStyle w:val="Heading1"/>
        <w:pageBreakBefore/>
      </w:pPr>
      <w:r>
        <w:rPr/>
        <w:t>Learning points | Topic notes</w:t>
      </w:r>
    </w:p>
    <w:p>
      <w:r>
        <w:rPr>
          <w:sz w:val="24"/>
        </w:rPr>
      </w:r>
      <w:r>
        <w:rPr>
          <w:sz w:val="24"/>
        </w:rPr>
        <w:t xml:space="preserve">X is </w:t>
      </w:r>
      <w:r>
        <w:rPr>
          <w:b/>
          <w:color w:val="B7312C"/>
          <w:sz w:val="24"/>
        </w:rPr>
        <w:t>bile</w:t>
      </w:r>
      <w:r>
        <w:rPr>
          <w:sz w:val="24"/>
        </w:rPr>
        <w:t xml:space="preserve">, containing no digestive enzymes. It </w:t>
      </w:r>
      <w:r>
        <w:rPr>
          <w:b/>
          <w:color w:val="B7312C"/>
          <w:sz w:val="24"/>
        </w:rPr>
        <w:t>physical</w:t>
      </w:r>
      <w:r>
        <w:rPr>
          <w:sz w:val="24"/>
        </w:rPr>
        <w:t xml:space="preserve">ly </w:t>
      </w:r>
      <w:r>
        <w:rPr>
          <w:b/>
          <w:color w:val="B7312C"/>
          <w:sz w:val="24"/>
        </w:rPr>
        <w:t>emulsifies</w:t>
      </w:r>
      <w:r>
        <w:rPr>
          <w:sz w:val="24"/>
        </w:rPr>
        <w:t xml:space="preserve"> large oil droplets into smaller droplets without changing lipid molecules. The greater </w:t>
      </w:r>
      <w:r>
        <w:rPr>
          <w:b/>
          <w:color w:val="B7312C"/>
          <w:sz w:val="24"/>
        </w:rPr>
        <w:t>total surface area</w:t>
      </w:r>
      <w:r>
        <w:rPr>
          <w:sz w:val="24"/>
        </w:rPr>
        <w:t xml:space="preserve"> helps </w:t>
      </w:r>
      <w:r>
        <w:rPr>
          <w:b/>
          <w:color w:val="B7312C"/>
          <w:sz w:val="24"/>
        </w:rPr>
        <w:t>lipase</w:t>
      </w:r>
      <w:r>
        <w:rPr>
          <w:sz w:val="24"/>
        </w:rPr>
        <w:t xml:space="preserve"> contact lipids.</w:t>
      </w:r>
    </w:p>
    <w:p>
      <w:r>
        <w:rPr>
          <w:sz w:val="24"/>
        </w:rPr>
      </w:r>
      <w:r>
        <w:rPr>
          <w:sz w:val="24"/>
        </w:rPr>
        <w:t xml:space="preserve">Y is </w:t>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forming </w:t>
      </w:r>
      <w:r>
        <w:rPr>
          <w:b/>
          <w:color w:val="B7312C"/>
          <w:sz w:val="24"/>
        </w:rPr>
        <w:t>glycerol</w:t>
      </w:r>
      <w:r>
        <w:rPr>
          <w:sz w:val="24"/>
        </w:rPr>
        <w:t xml:space="preserve"> and </w:t>
      </w:r>
      <w:r>
        <w:rPr>
          <w:b/>
          <w:color w:val="B7312C"/>
          <w:sz w:val="24"/>
        </w:rPr>
        <w:t>fatty acids</w:t>
      </w:r>
      <w:r>
        <w:rPr>
          <w:sz w:val="24"/>
        </w:rPr>
        <w:t xml:space="preserve"> in this course’s simplified complete-hydrolysis model. </w:t>
      </w:r>
      <w:r>
        <w:rPr>
          <w:b/>
          <w:color w:val="B7312C"/>
          <w:sz w:val="24"/>
        </w:rPr>
        <w:t>Lipase</w:t>
      </w:r>
      <w:r>
        <w:rPr>
          <w:sz w:val="24"/>
        </w:rPr>
        <w:t xml:space="preserve"> is a </w:t>
      </w:r>
      <w:r>
        <w:rPr>
          <w:b/>
          <w:color w:val="B7312C"/>
          <w:sz w:val="24"/>
        </w:rPr>
        <w:t>protein</w:t>
      </w:r>
      <w:r>
        <w:rPr>
          <w:sz w:val="24"/>
        </w:rPr>
        <w:t xml:space="preserve">: boiling </w:t>
      </w:r>
      <w:r>
        <w:rPr>
          <w:b/>
          <w:color w:val="B7312C"/>
          <w:sz w:val="24"/>
        </w:rPr>
        <w:t>denatures</w:t>
      </w:r>
      <w:r>
        <w:rPr>
          <w:sz w:val="24"/>
        </w:rPr>
        <w:t xml:space="preserve"> it and stops its action, which cooling does not restore. </w:t>
      </w:r>
      <w:r>
        <w:rPr>
          <w:b/>
          <w:color w:val="B7312C"/>
          <w:sz w:val="24"/>
        </w:rPr>
        <w:t>Bile</w:t>
      </w:r>
      <w:r>
        <w:rPr>
          <w:sz w:val="24"/>
        </w:rPr>
        <w:t xml:space="preserve"> retains emulsifying action after boiling in this model.</w:t>
      </w:r>
    </w:p>
    <w:p>
      <w:pPr>
        <w:spacing w:line="240" w:lineRule="auto" w:after="60"/>
      </w:pPr>
      <w:r>
        <w:drawing>
          <wp:inline xmlns:a="http://schemas.openxmlformats.org/drawingml/2006/main" xmlns:pic="http://schemas.openxmlformats.org/drawingml/2006/picture">
            <wp:extent cx="6480000" cy="1296000"/>
            <wp:docPr id="5" name="Picture 5"/>
            <wp:cNvGraphicFramePr>
              <a:graphicFrameLocks noChangeAspect="1"/>
            </wp:cNvGraphicFramePr>
            <a:graphic>
              <a:graphicData uri="http://schemas.openxmlformats.org/drawingml/2006/picture">
                <pic:pic>
                  <pic:nvPicPr>
                    <pic:cNvPr id="0" name="01_emulsification.png"/>
                    <pic:cNvPicPr/>
                  </pic:nvPicPr>
                  <pic:blipFill>
                    <a:blip r:embed="rId15"/>
                    <a:stretch>
                      <a:fillRect/>
                    </a:stretch>
                  </pic:blipFill>
                  <pic:spPr>
                    <a:xfrm>
                      <a:off x="0" y="0"/>
                      <a:ext cx="6480000" cy="1296000"/>
                    </a:xfrm>
                    <a:prstGeom prst="rect"/>
                  </pic:spPr>
                </pic:pic>
              </a:graphicData>
            </a:graphic>
          </wp:inline>
        </w:drawing>
      </w:r>
    </w:p>
    <w:p>
      <w:pPr>
        <w:spacing w:line="240" w:lineRule="auto" w:after="60"/>
      </w:pPr>
      <w:r>
        <w:drawing>
          <wp:inline xmlns:a="http://schemas.openxmlformats.org/drawingml/2006/main" xmlns:pic="http://schemas.openxmlformats.org/drawingml/2006/picture">
            <wp:extent cx="6480000" cy="1296000"/>
            <wp:docPr id="6" name="Picture 6"/>
            <wp:cNvGraphicFramePr>
              <a:graphicFrameLocks noChangeAspect="1"/>
            </wp:cNvGraphicFramePr>
            <a:graphic>
              <a:graphicData uri="http://schemas.openxmlformats.org/drawingml/2006/picture">
                <pic:pic>
                  <pic:nvPicPr>
                    <pic:cNvPr id="0" name="02_hydrolysis.png"/>
                    <pic:cNvPicPr/>
                  </pic:nvPicPr>
                  <pic:blipFill>
                    <a:blip r:embed="rId16"/>
                    <a:stretch>
                      <a:fillRect/>
                    </a:stretch>
                  </pic:blipFill>
                  <pic:spPr>
                    <a:xfrm>
                      <a:off x="0" y="0"/>
                      <a:ext cx="6480000" cy="1296000"/>
                    </a:xfrm>
                    <a:prstGeom prst="rect"/>
                  </pic:spPr>
                </pic:pic>
              </a:graphicData>
            </a:graphic>
          </wp:inline>
        </w:drawing>
      </w:r>
    </w:p>
    <w:p>
      <w:pPr>
        <w:pStyle w:val="Heading2"/>
      </w:pPr>
      <w:r>
        <w:rPr/>
        <w:t>Integrated explanation</w:t>
      </w:r>
    </w:p>
    <w:p>
      <w:r>
        <w:rPr>
          <w:sz w:val="24"/>
        </w:rPr>
        <w:t>8. Using the experimental results and topic notes, explain how bile and lipase in pancreatic juice work together to help digest lipids, and how boiling affects their actions.</w:t>
      </w:r>
    </w:p>
    <w:p>
      <w:r>
        <w:rPr>
          <w:b/>
          <w:color w:val="145DA0"/>
          <w:sz w:val="24"/>
        </w:rPr>
        <w:t>Bile physically emulsifies large droplets into small droplets without changing lipid molecules. The greater total surface area helps lipase act. Lipase in pancreatic juice catalyses chemical digestion into glycerol and fatty acids in this model. Lipase is a protein; boiling denatures it and stops its catalytic action even after cooling. Bile retains its emulsifying action after boiling.</w:t>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Investigating unknown digestive juices | ANSWERS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Unknown Juices — Answers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