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56"/>
        </w:rPr>
        <w:t>DORON'S RAVE — MASTER PACKAGE</w:t>
      </w:r>
    </w:p>
    <w:p>
      <w:pPr>
        <w:jc w:val="center"/>
        <w:bidi w:val="1"/>
      </w:pPr>
      <w:r>
        <w:rPr>
          <w:b w:val="0"/>
        </w:rPr>
        <w:t>Canon Final · ספרים 00–12 · 22.09.2026</w:t>
      </w:r>
    </w:p>
    <w:p>
      <w:pPr>
        <w:pStyle w:val="Heading1"/>
        <w:jc w:val="right"/>
        <w:bidi w:val="1"/>
      </w:pPr>
      <w:r>
        <w:t>1. תוכן החבילה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b/>
              </w:rPr>
              <w:t>ספר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b/>
              </w:rPr>
              <w:t>קובץ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00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חזון וארכיטקטורה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DORONS_RAVE_00_VISION_ARCHITECTURE_CANON_FINAL_2026-09-22.docx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Product Canon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DORONS_RAVE_01_PRODUCT_CANON_FINAL_2026-09-22.docx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02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Design System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DORONS_RAVE_02_DESIGN_SYSTEM_CANON_FINAL_2026-09-22.docx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03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Database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DORONS_RAVE_03_DATABASE_BOOK_CANON_FINAL_2026-09-22.docx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04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Business Rules &amp; Calculations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DORONS_RAVE_04_BUSINESS_RULES_CALCULATIONS_CANON_FINAL_2026-09-22.docx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05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Screens &amp; UX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DORONS_RAVE_05_UX_SCREENS_CANON_FINAL_2026-09-22.docx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06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Component Library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DORONS_RAVE_06_COMPONENT_LIBRARY_CANON_FINAL_2026-09-22.docx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07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User Flows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DORONS_RAVE_07_USER_FLOWS_CANON_FINAL_2026-09-22.docx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08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Development Guide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DORONS_RAVE_08_DEVELOPMENT_GUIDE_CLAUDE_CODE_CANON_FINAL_2026-09-22.docx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09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Migration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DORONS_RAVE_09_MIGRATION_DATA_COPY_PLAN_CANON_FINAL_2026-09-22.docx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10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QA &amp; Acceptance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DORONS_RAVE_10_QA_ACCEPTANCE_CRITERIA_CANON_FINAL_2026-09-22.docx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11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Product Language &amp; Quality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DORONS_RAVE_11_PRODUCT_LANGUAGE_QUALITY_RULES_CANON_FINAL_2026-09-22.docx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t>12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Design Decisions &amp; ADR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t>DORONS_RAVE_12_DESIGN_DECISIONS_ADR_CANON_FINAL_2026-09-22.docx</w:t>
            </w:r>
          </w:p>
        </w:tc>
      </w:tr>
    </w:tbl>
    <w:p>
      <w:pPr>
        <w:pStyle w:val="Heading1"/>
        <w:jc w:val="right"/>
        <w:bidi w:val="1"/>
      </w:pPr>
      <w:r>
        <w:t>2. סדר קריאה מחייב</w:t>
      </w:r>
    </w:p>
    <w:p>
      <w:pPr>
        <w:pStyle w:val="ListNumber"/>
        <w:jc w:val="right"/>
        <w:bidi w:val="1"/>
      </w:pPr>
      <w:r>
        <w:t>00 — חזון וארכיטקטורה</w:t>
      </w:r>
    </w:p>
    <w:p>
      <w:pPr>
        <w:pStyle w:val="ListNumber"/>
        <w:jc w:val="right"/>
        <w:bidi w:val="1"/>
      </w:pPr>
      <w:r>
        <w:t>01 — Product Canon</w:t>
      </w:r>
    </w:p>
    <w:p>
      <w:pPr>
        <w:pStyle w:val="ListNumber"/>
        <w:jc w:val="right"/>
        <w:bidi w:val="1"/>
      </w:pPr>
      <w:r>
        <w:t>02 — Design System</w:t>
      </w:r>
    </w:p>
    <w:p>
      <w:pPr>
        <w:pStyle w:val="ListNumber"/>
        <w:jc w:val="right"/>
        <w:bidi w:val="1"/>
      </w:pPr>
      <w:r>
        <w:t>03 — Database</w:t>
      </w:r>
    </w:p>
    <w:p>
      <w:pPr>
        <w:pStyle w:val="ListNumber"/>
        <w:jc w:val="right"/>
        <w:bidi w:val="1"/>
      </w:pPr>
      <w:r>
        <w:t>04 — Business Rules &amp; Calculations</w:t>
      </w:r>
    </w:p>
    <w:p>
      <w:pPr>
        <w:pStyle w:val="ListNumber"/>
        <w:jc w:val="right"/>
        <w:bidi w:val="1"/>
      </w:pPr>
      <w:r>
        <w:t>05 — Screens &amp; UX</w:t>
      </w:r>
    </w:p>
    <w:p>
      <w:pPr>
        <w:pStyle w:val="ListNumber"/>
        <w:jc w:val="right"/>
        <w:bidi w:val="1"/>
      </w:pPr>
      <w:r>
        <w:t>06 — Component Library</w:t>
      </w:r>
    </w:p>
    <w:p>
      <w:pPr>
        <w:pStyle w:val="ListNumber"/>
        <w:jc w:val="right"/>
        <w:bidi w:val="1"/>
      </w:pPr>
      <w:r>
        <w:t>07 — User Flows</w:t>
      </w:r>
    </w:p>
    <w:p>
      <w:pPr>
        <w:pStyle w:val="ListNumber"/>
        <w:jc w:val="right"/>
        <w:bidi w:val="1"/>
      </w:pPr>
      <w:r>
        <w:t>08 — Development Guide</w:t>
      </w:r>
    </w:p>
    <w:p>
      <w:pPr>
        <w:pStyle w:val="ListNumber"/>
        <w:jc w:val="right"/>
        <w:bidi w:val="1"/>
      </w:pPr>
      <w:r>
        <w:t>09 — Migration</w:t>
      </w:r>
    </w:p>
    <w:p>
      <w:pPr>
        <w:pStyle w:val="ListNumber"/>
        <w:jc w:val="right"/>
        <w:bidi w:val="1"/>
      </w:pPr>
      <w:r>
        <w:t>10 — QA &amp; Acceptance</w:t>
      </w:r>
    </w:p>
    <w:p>
      <w:pPr>
        <w:pStyle w:val="ListNumber"/>
        <w:jc w:val="right"/>
        <w:bidi w:val="1"/>
      </w:pPr>
      <w:r>
        <w:t>11 — Product Language &amp; Quality</w:t>
      </w:r>
    </w:p>
    <w:p>
      <w:pPr>
        <w:pStyle w:val="ListNumber"/>
        <w:jc w:val="right"/>
        <w:bidi w:val="1"/>
      </w:pPr>
      <w:r>
        <w:t>12 — Design Decisions &amp; ADR</w:t>
      </w:r>
    </w:p>
    <w:p>
      <w:pPr>
        <w:pStyle w:val="Heading1"/>
        <w:jc w:val="right"/>
        <w:bidi w:val="1"/>
      </w:pPr>
      <w:r>
        <w:t>3. מפת סמכות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b/>
              </w:rPr>
              <w:t>ספר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חזון/ארכיטקטורה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00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Scope מוצר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01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Design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02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Database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03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Business Rules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04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Screens/UX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05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Components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06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Flows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07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Implementation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08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Migration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09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QA/Go-Live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10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Language/Quality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11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t>למה התקבלה החלטה / חלופות שנפסלו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t>12</w:t>
            </w:r>
          </w:p>
        </w:tc>
      </w:tr>
    </w:tbl>
    <w:p>
      <w:pPr>
        <w:pStyle w:val="Heading1"/>
        <w:jc w:val="right"/>
        <w:bidi w:val="1"/>
      </w:pPr>
      <w:r>
        <w:t>4. שימוש בספר 12</w:t>
      </w:r>
    </w:p>
    <w:p>
      <w:pPr>
        <w:pStyle w:val="ListBullet"/>
        <w:jc w:val="right"/>
        <w:bidi w:val="1"/>
      </w:pPr>
      <w:r>
        <w:t>ספר 12 מסביר את ההיגיון מאחורי החלטות שכבר ננעלו.</w:t>
      </w:r>
    </w:p>
    <w:p>
      <w:pPr>
        <w:pStyle w:val="ListBullet"/>
        <w:jc w:val="right"/>
        <w:bidi w:val="1"/>
      </w:pPr>
      <w:r>
        <w:t>הוא אינו גובר על הספר הייעודי בתחום המימוש.</w:t>
      </w:r>
    </w:p>
    <w:p>
      <w:pPr>
        <w:pStyle w:val="ListBullet"/>
        <w:jc w:val="right"/>
        <w:bidi w:val="1"/>
      </w:pPr>
      <w:r>
        <w:t>אין להחזיר חלופה שנפסלה ב-ADR ללא החלטת מוצר מפורשת ועדכון הספרים המושפעים.</w:t>
      </w:r>
    </w:p>
    <w:p>
      <w:pPr>
        <w:pStyle w:val="Heading1"/>
        <w:jc w:val="right"/>
        <w:bidi w:val="1"/>
      </w:pPr>
      <w:r>
        <w:t>5. Build Contract</w:t>
      </w:r>
    </w:p>
    <w:p>
      <w:pPr>
        <w:pStyle w:val="ListBullet"/>
        <w:jc w:val="right"/>
        <w:bidi w:val="1"/>
      </w:pPr>
      <w:r>
        <w:t>React + TypeScript + Vite + Supabase/PostgreSQL + PWA.</w:t>
      </w:r>
    </w:p>
    <w:p>
      <w:pPr>
        <w:pStyle w:val="ListBullet"/>
        <w:jc w:val="right"/>
        <w:bidi w:val="1"/>
      </w:pPr>
      <w:r>
        <w:t>Mobile First + Hebrew RTL.</w:t>
      </w:r>
    </w:p>
    <w:p>
      <w:pPr>
        <w:pStyle w:val="ListBullet"/>
        <w:jc w:val="right"/>
        <w:bidi w:val="1"/>
      </w:pPr>
      <w:r>
        <w:t>מערכת אישית לשני משתמשים.</w:t>
      </w:r>
    </w:p>
    <w:p>
      <w:pPr>
        <w:pStyle w:val="ListBullet"/>
        <w:jc w:val="right"/>
        <w:bidi w:val="1"/>
      </w:pPr>
      <w:r>
        <w:t>אין AI Tasks / 'לטיפול עכשיו'.</w:t>
      </w:r>
    </w:p>
    <w:p>
      <w:pPr>
        <w:pStyle w:val="ListBullet"/>
        <w:jc w:val="right"/>
        <w:bidi w:val="1"/>
      </w:pPr>
      <w:r>
        <w:t>אין Sidebar ראשי.</w:t>
      </w:r>
    </w:p>
    <w:p>
      <w:pPr>
        <w:pStyle w:val="ListBullet"/>
        <w:jc w:val="right"/>
        <w:bidi w:val="1"/>
      </w:pPr>
      <w:r>
        <w:t>Light Executive Luxury; אין סגול/לילך.</w:t>
      </w:r>
    </w:p>
    <w:p>
      <w:pPr>
        <w:pStyle w:val="ListBullet"/>
        <w:jc w:val="right"/>
        <w:bidi w:val="1"/>
      </w:pPr>
      <w:r>
        <w:t>Supabase הוא SSOT.</w:t>
      </w:r>
    </w:p>
    <w:p>
      <w:pPr>
        <w:pStyle w:val="ListBullet"/>
        <w:jc w:val="right"/>
        <w:bidi w:val="1"/>
      </w:pPr>
      <w:r>
        <w:t>אין optimistic success פיננסי.</w:t>
      </w:r>
    </w:p>
    <w:p>
      <w:pPr>
        <w:pStyle w:val="ListBullet"/>
        <w:jc w:val="right"/>
        <w:bidi w:val="1"/>
      </w:pPr>
      <w:r>
        <w:t>Migration + QA לפני Go-Live.</w:t>
      </w:r>
    </w:p>
    <w:p>
      <w:pPr>
        <w:pStyle w:val="Heading1"/>
        <w:jc w:val="right"/>
        <w:bidi w:val="1"/>
      </w:pPr>
      <w:r>
        <w:t>6. הוראה ל-Claude Code</w:t>
      </w:r>
    </w:p>
    <w:p>
      <w:pPr>
        <w:jc w:val="right"/>
        <w:bidi w:val="1"/>
      </w:pPr>
      <w:r>
        <w:rPr>
          <w:b w:val="0"/>
        </w:rPr>
        <w:t>קרא את הספרים 00–12 לפי הסדר. השתמש ב-Master כמפת ניווט ובספר הייעודי כמקור הסמכות. ספר 12 משמש כדי להבין למה החלטה קיימת וכדי לא להחזיר בשקט חלופות שכבר נפסלו.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Master 00–12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