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464"/>
      </w:pPr>
      <w:r>
        <w:rPr>
          <w:rFonts w:ascii="Helvetica Neue" w:hAnsi="Helvetica Neue" w:cs="Helvetica Neue"/>
          <w:sz w:val="69"/>
          <w:sz-cs w:val="69"/>
          <w:b/>
          <w:spacing w:val="0"/>
          <w:color w:val="0E203B"/>
        </w:rPr>
        <w:t xml:space="preserve">LFZ Plot Management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Solution documentation — architecture, database schema and DWG extraction report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.NET 8 · Clean Architecture · SQL Server (spatial) · Blazor Server</w:t>
      </w:r>
    </w:p>
    <w:p>
      <w:pPr>
        <w:jc w:val="center"/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585E6D"/>
        </w:rPr>
        <w:t xml:space="preserve">7 July 2026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Project Overview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Login-gated internal web app for the Lagos Free Zone master plan: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viewers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explore the plan,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requesters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submit plot requests,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allocators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approve or reject them, and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admins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manage users, settings and exceptions.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Built with .NET 8 (clean architecture), SQL Server (spatial), Blazor Server and a DWG→seed extraction pipeline. Maintenance is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data-only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re-run the extractor when the drawing changes, or use the Admin UI for tenant / status / request maintenance.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Solution structure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Project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Purpose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src/LFZ.Domain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Entities, enums,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PlotRules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workflow invariants (no dependencies)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src/LFZ.Application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Use-case services, DTOs,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IApplicationDbContext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IJwtService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abstractions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src/LFZ.Infrastructure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EF Core (SQL Server + NetTopologySuite), Identity, JWT, migrations, seed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src/LFZ.Api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REST API + SignalR hub, JWT bearer auth, Swagger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src/LFZ.Web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Blazor Server app — interactive SVG map, dashboard, admin settings, cookie auth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tools/LFZ.Tools.PlotExtractor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DWG→DXF→seed pipeline (console app)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tests/LFZ.Domain.Tests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xUnit tests for the domain workflow rules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Documentation: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docs/architecture.md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docs/database-schema.md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docs/dwg-extraction-report.md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· standalone prototype: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LFZ-prototype.html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(open directly in a browser — full status workflow against the real DWG geometry, no backend).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Run locally (macOS)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SQL Server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(Docker):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docker run -e ACCEPT_EULA=Y -e MSSQL_SA_PASSWORD='YourStrong!Pass1' \ -p 1433:1433 -d --name lfz-sql mcr.microsoft.com/mssql/server:2022-latest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Configure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connection string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src/LFZ.Api/appsettings.json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src/LFZ.Web/appsettings.json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(or use user-secrets / env vars).</w:t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Create the database: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dotnet tool install --global dotnet-ef --version "8.*" # once dotnet ef database update --project src/LFZ.Infrastructure --startup-project src/LFZ.Api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Run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(roles, pilot users, settings and the 55 plots seed on first start):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bash dotnet run --project src/LFZ.Api # Swagger: http://localhost:5088/swagger dotnet run --project src/LFZ.Web # App: http://localhost:5188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Sign 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with a pilot account: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Role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Email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Password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Viewer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viewer@example.com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Viewer123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requester@example.com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Requester123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allocator@example.com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Allocator123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Admin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admin@example.com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Tests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test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DWG extraction (data-only maintenance)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python3 -m venv .venv-cad &amp;&amp; .venv-cad/bin/pip install aspose-cad shapely ezdxf   # once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.venv-cad/bin/python tools/convert_dwg_to_dxf.py "&lt;drawing&gt;.dwg" masterplan.dxf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tools/LFZ.Tools.PlotExtractor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run -- ../../masterplan.dxf --codes none        # complete zone, all phases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 out/plots-seed.json ../../src/LFZ.Infrastructure/Seed/plots-seed.json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../tag_phases.py             # tag phases from extent WKTs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../extract_plot_labels.py    # real plot codes/names/land-use + true-metre scale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../extract_hatch_colors.py   # land-use hatch colours from the DWG legend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../build_prototype.py        # refresh LFZ-prototype.html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See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docs/dwg-extraction-report.md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for the full methodology and current results (414 rings → 124 seeded parcels, complete zone).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Deploy to Azure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deploy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./deploy.sh &lt;resource-group&gt; [location]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Provisions an App Service plan with two Linux web apps (API + Web), Azure SQL and Application Insights via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deploy/main.bicep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then publishes both apps. Replace the placeholder secrets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main.parameters.json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with Key Vault references before production use.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Architecture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Architecture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1. Solution layout (clean architecture)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graph TD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subgraph Presentation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API["LFZ.Api&lt;br/&gt;REST + SignalR, JWT"]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WEB["LFZ.Web&lt;br/&gt;Blazor Server, cookies"]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end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subgraph Core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APP["LFZ.Application&lt;br/&gt;use-case services, DTOs, abstractions"]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DOM["LFZ.Domain&lt;br/&gt;entities, enums, PlotRules"]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end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INF["LFZ.Infrastructure&lt;br/&gt;EF Core + SQL Server/NTS, Identity, JWT, seed"]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TOOL["LFZ.Tools.PlotExtractor&lt;br/&gt;DWG→DXF→seed pipeline"]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TEST["LFZ.Domain.Tests&lt;br/&gt;xUnit"]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INF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INF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APP --&gt; DOM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INF --&gt; APP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TEST --&gt; DOM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TOOL -. "plots-seed.json (one-time seed)" .-&gt; INF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Dependency rule.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LFZ.Domain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depends on nothing (NetTopologySuite only, for geometry value types).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depends on Domain and defines the persistence abstraction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IApplicationDbContext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 plus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IJwtService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LFZ.Infrastructure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implements those abstractions with EF Core (SQL Server + NetTopologySuite), ASP.NET Core Identity and JWT issuance. The two hosts (API, Web) compose everything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AddLfzInfrastructure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Where logic lives.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Concern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Location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workflow invariants (who may move a plot between states)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LFZ.Domain.Rules.PlotRules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— pure, unit-tested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Command orchestration (submit/approve/reject/allocate/block/release)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LFZ.Application.Services.PlotCommandService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Read models &amp; filters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LFZ.Application.Services.PlotQueryService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audit trail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PlotStatusHistoryInterceptor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(EF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SaveChanges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interceptor) — every persisted status change writes 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row with actor, reason and originating request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Real-time map refresh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PlotHub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(SignalR) broadcast on every status change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2. Deployment topology (Azure)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graph LR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U[Browser] --&gt;|HTTPS + cookies, WebSocket| WEB["App Service&lt;br/&gt;lfz-web (Blazor Server)"]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C[API clients / Swagger] --&gt;|HTTPS + JWT| API["App Service&lt;br/&gt;lfz-api"]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SQL[("Azure SQL&lt;br/&gt;LfzPlots")]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SQL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WEB --&gt; AI[Application Insights]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API --&gt; AI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Both apps share one Linux App Service plan and one Azure SQL database. Templates: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deploy/main.bicep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Blazor Server requires WebSockets (enabled in the template). Scale-out beyond one Web instance requires adding a SignalR/backplane service (Azure SignalR) for sticky circuits.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3. Security model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Authentication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ASP.NET Core Identity over the shared database.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LFZ.Api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stateless JWT bearer (issuer/audience/key from configuration, 60-minute expiry, role claims embedded). SignalR clients pass the token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access_token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query parameter.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LFZ.Web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Identity cookie (8 h sliding), login via antiforgery-protected form post; Blazor circuits inherit the authenticated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ClaimsPrincipal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Authorization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four roles (Viewer, Requester, Allocator, Admin) mapped to named policies defined once in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DependencyInjection.AddLfzPolicies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used by both hosts: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Policy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Roles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Grants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CanViewDashboard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 four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read map, dashboard, summaries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CanRequestPlot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Requester, Allocator, 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submit plot requests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CanAllocatePlot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CanBlockPlot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Allocator, 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approve/reject, direct allocate, block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CanManageSettings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Admin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release plots, edit plots/settings, register users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fallback policy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requires authentication everywhere; anonymous access is opt-in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/login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/api/auth/login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-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Hardening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lockout after 5 failed logins (15 min), password policy (min 6, digit required), HTTPS-only, TLS 1.2 minimum, secrets supplied via parameters/Key Vault references (never committed), EF Core parameterised queries throughout, optimistic concurrency via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rowversion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on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4. Non-functional targets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Target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Approach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Map render &lt; 1 s for ~60 plots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SVG paths pre-computed at seed time; no client transform; single query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AsNoTracking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 change visible to all users &lt; 2 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SignalR broadcast on every transition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Auditability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Immutable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written transactionally with the change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Concurrency safety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rowversion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column + EF concurrency checks; single SaveChanges per command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Maintenance is data-only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Drawing changes → re-run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LFZ.Tools.PlotExtractor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; tenants/statuses/settings via Admin UI; no code changes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Availability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Stateless API; Blazor Server on WebSockets; Azure SQL S0 with point-in-time restore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Database Schema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LFZ Plot Management — Database schema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SQL Server database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 Created by EF Core migration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InitialSchema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src/LFZ.Infrastructure/Migrations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Identity tables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AspNetUsers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AspNetRoles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…) are standard and omitted here;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AspNetUsers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is extended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FullName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RoleFlag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.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erDiagram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PlotRequests : "has"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PlotTenantBlocks : "blocked for"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Plots ||--o{ PlotStatusHistory : "audited by"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PlotRequests : "requested by"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PlotTenantBlocks : ""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Tenants ||--o{ Plots : "current tenant"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PlotRequests ||--o{ PlotStatusHistory : "originates"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Code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nvarchar(50), unique index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stable drawing code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i001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cp01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DisplayName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LandUseType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Industrial / Infrastructure / Existing / …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Phase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HatchColor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override colour from drawing hatch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AreaHectares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decimal(18,4)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enum string: Free, Occupied, Blocked, PendingReview, Unavailable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CurrentTenantId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Tenants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ON DELETE SET NULL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Boundary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geometry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polygon, plan metres, SRID 0 — supports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STContains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STTouches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STArea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SvgPath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nvarchar(max)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pre-computed, y-flipped, plan metres; rendered directly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Centroid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geometry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point, same coordinate space as SvgPath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IsLocked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bit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roads/common areas — non-selectable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MultiTenantBlockEnabled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bit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per-plot gate for the multi-tenant block exception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RowVersion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rowversion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optimistic concurrency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Tenants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LegalName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Contact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Industry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nvarchar(120) null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PlotRequests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index on (PlotId, Status)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RequestedByUserId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Identity user 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Allocate / Block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Pending / Approved / Rejected / Cancelled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IntendedUse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RequestedStartDate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DecisionByUserId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DecisionAtUtc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nvarchar(2000)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CreatedAtUtc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PlotTenantBlocks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Composite PK (PlotId, TenantId). Reserves a plot for one or more prospective tenants; multiple rows per plot only when the multi-tenant exception is enabled globally (AppSetting)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and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per-plot.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BlockedByUserId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BlockedAtUtc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Notes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PlotStatusHistory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Immutable audit trail, written automatically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PlotStatusHistoryInterceptor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whenever a plot status change is persisted. Index on (PlotId, ChangedAtUtc).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Column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Type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PK identity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PlotId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FK → Plots (cascade)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FromStatus / ToStatus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TenantId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Tenants (restrict)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ActorUserId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nvarchar(450)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ChangedAtUtc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datetime2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Reason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nvarchar(1000) null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OriginatingRequestId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int null FK → PlotRequests (no action)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AppSettings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Admin-editable key/value store (unique index on Key). Seeded keys: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Feature.AllowMultiTenantBlock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(Boolean)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Palette.Plot.*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colours used by the map.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Seeding</w:t>
      </w:r>
    </w:p>
    <w:p>
      <w:pPr>
        <w:spacing w:after="293"/>
      </w:pP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SeedData.InitializeAsync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runs at startup of either host and is idempotent: roles, one pilot account per role, default AppSettings, and — only when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is empty — the 55 parcels from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Seed/plots-seed.json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including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Boundary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geometry parsed from WKT.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/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DWG Extraction Report</w:t>
      </w:r>
    </w:p>
    <w:p>
      <w:pPr>
        <w:spacing w:after="357"/>
      </w:pPr>
      <w:r>
        <w:rPr>
          <w:rFonts w:ascii="Helvetica Neue" w:hAnsi="Helvetica Neue" w:cs="Helvetica Neue"/>
          <w:sz w:val="53"/>
          <w:sz-cs w:val="53"/>
          <w:b/>
          <w:spacing w:val="0"/>
          <w:color w:val="0E203B"/>
        </w:rPr>
        <w:t xml:space="preserve">DWG extraction report — LFZ master plan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Source drawing: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Masterplan-LFZ-1001-LFZ-A-MP-DWG-R00 (002).dwg 15-12-25 L(with hatch).dwg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Reference: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 Master Plan .pdf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(legend used to seed plot names)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Pipeline: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tools/convert_dwg_to_dxf.py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(aspose-cad) →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tools/LFZ.Tools.PlotExtractor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(.NET 8)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Extraction date: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2026-07-07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Pipeline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DWG → DXF.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DWG is converted with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aspose-cad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to an ASCII DXF (R12 / AC1009, ~541 MB). The conversion is faithful for geometry but lossy in two documented ways: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the </w:t>
      </w:r>
      <w:r>
        <w:rPr>
          <w:rFonts w:ascii="Helvetica Neue" w:hAnsi="Helvetica Neue" w:cs="Helvetica Neue"/>
          <w:sz w:val="29"/>
          <w:sz-cs w:val="29"/>
          <w:i/>
          <w:spacing w:val="0"/>
          <w:color w:val="181E2A"/>
        </w:rPr>
        <w:t xml:space="preserve">closed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flag (group 70 bit 1) of POLYLINE entities is dropped, and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text labels (plot codes) are stripped.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Stream parse.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LFZ.Tools.PlotExtractor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stream-parses the DXF (constant memory) and collects every POLYLINE/LWPOLYLINE ring with ≥ 3 vertices on 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PLOT AREA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layer. Because the closed flag is lost, closure is detected geometrically (coincident first/last vertex is stripped; remaining rings are treated as closed polygons).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Coverage &amp; phase tagging.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Extraction is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zone-wide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(no extent filter): every developable parcel in the drawing is seeded. Phases are tagged from the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development-phase boundary rings found in the DWG itself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the drawing legend declares Phase 1A (278 ha), 1B (113 ha), 2 (122 ha) and 3 (246 ha), and closed rings matching those areas exist in model space on layer “0” (found at 276.4 / 115.9 / 132.0 ha).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extract_plot_labels.py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assigns each parcel the tightest phase ring containing its centroid; Phase 3 has no closed ring in the current drawing, so its parcels are tagged “Phase 3 / Future”.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tag_phases.py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remains as an extent-WKT fallback for parcels that cannot be ring-matched.)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Sliver filter.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Parcels below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0.1 ha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are drawing artefacts and removed.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Deduplication.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Duplicate rings (identical rounded centroid + area, overdrawn outlines) are collapsed.</w:t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8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Code assignment.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Plot codes and names are recovered from the DWG itself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tools/extract_plot_labels.py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the DWG model space carries the true-scale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 AREA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rings and the plot ID labels (MTEXT/TEXT such as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 004 / 54961 SQ.M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 Each seeded parcel is matched to its model ring by a scale-invariant shape fingerprint (vertex count + isoperimetric factor); the label inside the ring supplies the drawing code and display name. 42 of 55 parcels carry real drawing codes (duplicated codes on the plan get a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/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suffix); the 13 parcels with no label in the drawing keep synthesised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codes.</w:t>
      </w:r>
    </w:p>
    <w:p>
      <w:pPr>
        <w:ind w:left="720" w:first-line="-720"/>
        <w:spacing w:after="293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9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Scale correction.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Matching also revealed that the aspose DXF export scales geometry by ≈ 0.3917 (k = 2.5533 back to true metres, stdev 0.015, 53 matched parcels). The label recovery step rescales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svgPath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centroid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boundaryWkt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and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areaHectares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to true metres — confirmed by the drawing's own quoted areas (e.g. ring labelled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338259 SQ.M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→ 33.83 ha).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Results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Stage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Count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Rings on layer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 AREA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 (whole drawing)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414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≥ 0.1 ha (sliver filter)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137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After deduplication —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seeded parcels (complete zone)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124</w:t>
      </w: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— Phase 1A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50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— Phase 1B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— Phase 2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28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— Phase 3 / Future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44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Real drawing codes recovered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91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Land-use classified from code prefix (i/l/u/c/m/cp/t)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124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Locked (infrastructure/utility)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8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Total seeded area: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509.9 ha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(true metres).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Largest parcels (codes/names from the drawing labels; locked = non-selectable):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Code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Name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Area (ha)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E2A"/>
        </w:rPr>
        <w:t xml:space="preserve">Locked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l005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L2E Tower (Inland Port Logistics)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33.83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i011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Future Industry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25.03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LFZ Camp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8.32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Raffles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6.02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TG Arla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6.00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i004b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TG Colgate Phase I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5.50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c002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Carton Factory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5.00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i028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Heavy Vehicle Park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4.86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l004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Customs CP1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4.78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i002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Customs CP2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4.57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…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81 more labelled + 33 unlabelled (IND-nnn)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>0.1–4.5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(See the results table above for zone-wide counts.)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Units and coordinate spaces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Raw DXF-export units are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centimetres at 0.3917× scale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(the aspose export shrinks the drawing);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extract_plot_labels.py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rescales the seed to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true plan metres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using the model-space rings. Polygon area / 10⁴ = hectares.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Plots.Boundary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(WKT → SQL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geometry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): plan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metres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, original CAD orientation, SRID 0.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Plots.SvgPath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: plan metres,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y-flipped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y' = maxY − 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 and normalised to the extraction bounding box so browsers render it with no client-side transform.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Outputs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plots-seed.json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consumed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SeedData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at first startup (includes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boundaryWkt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plots-seed.sql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direct SQL Server insert script (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geometry::STGeomFromText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).</w:t>
      </w:r>
    </w:p>
    <w:p>
      <w:pPr>
        <w:ind w:left="720" w:first-line="-720"/>
      </w:pPr>
      <w:r>
        <w:rPr>
          <w:rFonts w:ascii="Menlo" w:hAnsi="Menlo" w:cs="Menlo"/>
          <w:sz w:val="25"/>
          <w:sz-cs w:val="25"/>
          <w:color w:val="181E2A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preview.svg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visual QA of the extracted parcels.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Re-running (data-only maintenance)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.venv-cad/bin/python tools/convert_dwg_to_dxf.py "&lt;new drawing&gt;.dwg" masterplan.dxf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cd tools/LFZ.Tools.PlotExtractor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dotnet run -- ../../masterplan.dxf --codes none        # complete zone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cp out/plots-seed.json ../../src/LFZ.Infrastructure/Seed/plots-seed.json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../tag_phases.py             # phase tagging from extent WKTs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../extract_plot_labels.py    # real codes/names/land-use + true-metre scale (reads the DWG)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../extract_hatch_colors.py   # land-use hatch colours (reads the DWG)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python3 ../build_prototype.py        # refresh the standalone prototype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Truncate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Plots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(or use a fresh database) before restarting so the seed re-runs.</w:t>
      </w:r>
    </w:p>
    <w:p>
      <w:pPr>
        <w:spacing w:after="331"/>
      </w:pPr>
      <w:r>
        <w:rPr>
          <w:rFonts w:ascii="Helvetica Neue" w:hAnsi="Helvetica Neue" w:cs="Helvetica Neue"/>
          <w:sz w:val="40"/>
          <w:sz-cs w:val="40"/>
          <w:b/>
          <w:spacing w:val="0"/>
          <w:color w:val="0E203B"/>
        </w:rPr>
        <w:t xml:space="preserve">Known caveats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Phase 3 boundary.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Phases 1A/1B/2 are tagged from closed boundary rings in the DWG; Phase 3 (246 ha per the legend) exists only as unclosed linework, so its parcels are tagged “Phase 3 / Future”. A closed Phase 3 polygon from the drawing office would complete the attribution.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Labels.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Real drawing codes/names are recovered from the DWG model space by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extract_plot_labels.py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(91 of 124 parcels). The remaining 33 parcels carry no ID label in the drawing and keep synthesised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IND-nnn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codes; they can be renamed in the Admin UI.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b/>
          <w:color w:val="181E2A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Hatch colours.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The DWG contains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81E2A"/>
        </w:rPr>
        <w:t xml:space="preserve">no per-plot colour fills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— the PDF's plot colouring is a publishing artefact. The DWG does carry legend swatch hatches on the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LU_*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layers;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tools/extract_hatch_colors.py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reads them directly from the DWG (aspose-cad object model, ACI → hex via ezdxf) and applies them to plots by land-use class: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Existing #FF00BF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(LU_Committed Devt),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Infrastructure #FFFF7F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(LU_Roads),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Green #BFFF7F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(LU_Green x Open Space). Industrial plots have no legend colour in the drawing, so their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HatchColor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stays null and the UI palette from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AppSettings</w:t>
      </w:r>
      <w:r>
        <w:rPr>
          <w:rFonts w:ascii="Helvetica Neue" w:hAnsi="Helvetica Neue" w:cs="Helvetica Neue"/>
          <w:sz w:val="29"/>
          <w:sz-cs w:val="29"/>
          <w:spacing w:val="0"/>
          <w:color w:val="181E2A"/>
        </w:rPr>
        <w:t xml:space="preserve"> applies.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