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86AB"/>
          <w:sz w:val="44"/>
          <w:szCs w:val="44"/>
        </w:rPr>
        <w:t xml:space="preserve">Olist 电商数据分析报告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数据周期: 2017年1月 - 2018年8月 | 数据来源: Olist 巴西电商平台公开数据集(约10万笔订单)</w:t>
      </w:r>
    </w:p>
    <w:p>
      <w:pPr>
        <w:pStyle w:val="Heading1"/>
        <w:spacing w:after="200" w:before="400"/>
      </w:pPr>
      <w:r>
        <w:t xml:space="preserve">一、项目背景与目标</w:t>
      </w:r>
    </w:p>
    <w:p>
      <w:pPr>
        <w:spacing w:after="160"/>
      </w:pPr>
      <w:r>
        <w:rPr>
          <w:b w:val="false"/>
          <w:bCs w:val="false"/>
        </w:rPr>
        <w:t xml:space="preserve">Olist 是巴西领先的电商聚合平台,连接中小卖家与消费者。本报告基于其公开订单数据,从业务概览、客户价值、履约体验三个角度展开分析,目标是识别当前业务的核心特征、潜在风险与可优化方向。</w:t>
      </w:r>
    </w:p>
    <w:p>
      <w:pPr>
        <w:pStyle w:val="Heading1"/>
        <w:spacing w:after="200" w:before="400"/>
      </w:pPr>
      <w:r>
        <w:t xml:space="preserve">二、数据说明</w:t>
      </w:r>
    </w:p>
    <w:p>
      <w:pPr>
        <w:spacing w:after="160"/>
      </w:pPr>
      <w:r>
        <w:rPr>
          <w:b w:val="false"/>
          <w:bCs w:val="false"/>
        </w:rPr>
        <w:t xml:space="preserve">原始数据包含9张关联表(订单、客户、商品、卖家、支付、评价等)。分析前完成了以下处理: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按业务粒度拆分为两张主表: 商品级别表(用于销售/品类分析)与订单级别表(用于客户/满意度分析),避免合并不同粒度的表导致重复计算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日期字段统一转换格式,计算出配送时长(delivery_days)等衍生指标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缺失值按业务含义分类处理: 未完成订单的缺失配送日期予以保留(真实业务状态),商品类目缺失填充为"unknown"(避免误删有效销售记录)</w:t>
      </w:r>
    </w:p>
    <w:p>
      <w:pPr>
        <w:pStyle w:val="Heading1"/>
        <w:spacing w:after="200" w:before="400"/>
      </w:pPr>
      <w:r>
        <w:t xml:space="preserve">三、业务概览</w:t>
      </w:r>
    </w:p>
    <w:p>
      <w:pPr>
        <w:pStyle w:val="Heading2"/>
        <w:spacing w:after="150" w:before="300"/>
      </w:pPr>
      <w:r>
        <w:t xml:space="preserve">3.1 销售趋势持续增长</w:t>
      </w:r>
    </w:p>
    <w:p>
      <w:pPr>
        <w:spacing w:after="80" w:before="100"/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图1: 月度销售趋势(2017-01至2018-08)</w:t>
      </w:r>
    </w:p>
    <w:p>
      <w:pPr>
        <w:spacing w:after="160"/>
      </w:pPr>
      <w:r>
        <w:rPr>
          <w:b w:val="false"/>
          <w:bCs w:val="false"/>
        </w:rPr>
        <w:t xml:space="preserve">2017年至2018年中,月度销售额从约12万雷亚尔增长至接近100万雷亚尔,整体呈稳定上升趋势。2017年11月出现单月峰值(约101万),推测与年末促销活动相关,建议结合具体营销日历进一步验证。</w:t>
      </w:r>
    </w:p>
    <w:p>
      <w:pPr>
        <w:pStyle w:val="Heading2"/>
        <w:spacing w:after="150" w:before="300"/>
      </w:pPr>
      <w:r>
        <w:t xml:space="preserve">3.2 品类与地域高度集中</w:t>
      </w:r>
    </w:p>
    <w:p>
      <w:pPr>
        <w:spacing w:after="80" w:before="1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图2: 品类销售额Top10</w:t>
      </w:r>
    </w:p>
    <w:p>
      <w:pPr>
        <w:spacing w:after="160"/>
      </w:pPr>
      <w:r>
        <w:rPr>
          <w:b w:val="false"/>
          <w:bCs w:val="false"/>
        </w:rPr>
        <w:t xml:space="preserve">美妆健康(health_beauty)、手表礼品(watches_gifts)、床上/浴室/餐桌用品(bed_bath_table)是营收贡献最高的三个品类。</w:t>
      </w:r>
    </w:p>
    <w:p>
      <w:pPr>
        <w:spacing w:after="80" w:before="1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图3: 各州销售额Top10</w:t>
      </w:r>
    </w:p>
    <w:p>
      <w:pPr>
        <w:spacing w:after="160"/>
      </w:pPr>
      <w:r>
        <w:rPr>
          <w:b w:val="false"/>
          <w:bCs w:val="false"/>
        </w:rPr>
        <w:t xml:space="preserve">圣保罗州(SP)订单量达4.17万笔,是第二名里约热内卢州(RJ, 1.29万笔)的3倍以上,业务高度集中于单一区域,存在过度依赖风险,也提示了向其他州拓展的潜在空间。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四、客户分层分析(RFM)</w:t>
      </w:r>
    </w:p>
    <w:p>
      <w:pPr>
        <w:spacing w:after="160"/>
      </w:pPr>
      <w:r>
        <w:rPr>
          <w:b w:val="false"/>
          <w:bCs w:val="false"/>
        </w:rPr>
        <w:t xml:space="preserve">采用 Recency(最近购买)、Frequency(购买频次)、Monetary(消费金额)三个维度对客户分层。</w:t>
      </w:r>
    </w:p>
    <w:p>
      <w:pPr>
        <w:spacing w:after="160"/>
      </w:pPr>
      <w:r>
        <w:rPr>
          <w:b/>
          <w:bCs/>
        </w:rPr>
        <w:t xml:space="preserve">关键提示: 本数据集中 customer_id 实际上标识"一次下单行为"而非"一个真实用户",同一用户多次购买会产生不同的 customer_id,必须改用 customer_unique_id 才能正确识别复购客户,否则会得出"复购率为0"的错误结论(已通过对比验证确认此问题)。</w:t>
      </w:r>
    </w:p>
    <w:p>
      <w:pPr>
        <w:pStyle w:val="Heading2"/>
        <w:spacing w:after="150" w:before="300"/>
      </w:pPr>
      <w:r>
        <w:t xml:space="preserve">4.1 复购率极低</w:t>
      </w:r>
    </w:p>
    <w:p>
      <w:pPr>
        <w:spacing w:after="160"/>
      </w:pPr>
      <w:r>
        <w:rPr>
          <w:b w:val="false"/>
          <w:bCs w:val="false"/>
        </w:rPr>
        <w:t xml:space="preserve">统计发现,超过75%的客户在平台上只购买过一次,全平台复购率仅 3.12%。这是本数据集最突出的业务特征,反映出当前客户运营以获客为主、留存机制较弱。</w:t>
      </w:r>
    </w:p>
    <w:p>
      <w:pPr>
        <w:pStyle w:val="Heading2"/>
        <w:spacing w:after="150" w:before="300"/>
      </w:pPr>
      <w:r>
        <w:t xml:space="preserve">4.2 客户分层结果</w:t>
      </w:r>
    </w:p>
    <w:p>
      <w:pPr>
        <w:spacing w:after="80" w:before="10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图4: 客户分层人数分布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3600"/>
      </w:tblGrid>
      <w:tr>
        <w:tc>
          <w:tcPr>
            <w:tcW w:type="dxa" w:w="2600"/>
            <w:shd w:fill="E8EEF3" w:val="clear"/>
          </w:tcPr>
          <w:p>
            <w:r>
              <w:rPr>
                <w:b/>
                <w:bCs/>
                <w:sz w:val="21"/>
                <w:szCs w:val="21"/>
              </w:rPr>
              <w:t xml:space="preserve">客户群体</w:t>
            </w:r>
          </w:p>
        </w:tc>
        <w:tc>
          <w:tcPr>
            <w:tcW w:type="dxa" w:w="1400"/>
            <w:shd w:fill="E8EEF3" w:val="clear"/>
          </w:tcPr>
          <w:p>
            <w:r>
              <w:rPr>
                <w:b/>
                <w:bCs/>
                <w:sz w:val="21"/>
                <w:szCs w:val="21"/>
              </w:rPr>
              <w:t xml:space="preserve">人数</w:t>
            </w:r>
          </w:p>
        </w:tc>
        <w:tc>
          <w:tcPr>
            <w:tcW w:type="dxa" w:w="1800"/>
            <w:shd w:fill="E8EEF3" w:val="clear"/>
          </w:tcPr>
          <w:p>
            <w:r>
              <w:rPr>
                <w:b/>
                <w:bCs/>
                <w:sz w:val="21"/>
                <w:szCs w:val="21"/>
              </w:rPr>
              <w:t xml:space="preserve">人均消费(BRL)</w:t>
            </w:r>
          </w:p>
        </w:tc>
        <w:tc>
          <w:tcPr>
            <w:tcW w:type="dxa" w:w="3600"/>
            <w:shd w:fill="E8EEF3" w:val="clear"/>
          </w:tcPr>
          <w:p>
            <w:r>
              <w:rPr>
                <w:b/>
                <w:bCs/>
                <w:sz w:val="21"/>
                <w:szCs w:val="21"/>
              </w:rPr>
              <w:t xml:space="preserve">特征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Regular(普通一次性客户)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48,199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88.57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近期或历史消费但非高价值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Lost(低价值已流失)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15,791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38.59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长期未购买且消费金额低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Champions(高活跃高价值)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14,992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267.71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近期活跃且消费金额高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At Risk(曾高价值现已流失)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14,117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277.75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历史消费金额高但已长期未回购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Loyal(回头客)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2,997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259.87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购买次数不止一次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核心发现: At Risk 群体的历史人均消费(277.75)甚至略高于 Champions(267.71),说明这批客户具备较强的付费能力,只是流失了。相比持续投入拉新,针对 At Risk 群体设计定向召回活动(如专属优惠、复购提醒),性价比可能更高。</w:t>
      </w:r>
    </w:p>
    <w:p>
      <w:r>
        <w:br w:type="page"/>
      </w:r>
    </w:p>
    <w:p>
      <w:pPr>
        <w:pStyle w:val="Heading1"/>
        <w:spacing w:after="200" w:before="400"/>
      </w:pPr>
      <w:r>
        <w:t xml:space="preserve">五、配送时效与客户满意度</w:t>
      </w:r>
    </w:p>
    <w:p>
      <w:pPr>
        <w:pStyle w:val="Heading2"/>
        <w:spacing w:after="150" w:before="300"/>
      </w:pPr>
      <w:r>
        <w:t xml:space="preserve">5.1 描述统计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400"/>
      </w:tblGrid>
      <w:tr>
        <w:tc>
          <w:tcPr>
            <w:tcW w:type="dxa" w:w="2000"/>
            <w:shd w:fill="E8EEF3" w:val="clear"/>
          </w:tcPr>
          <w:p>
            <w:r>
              <w:rPr>
                <w:b/>
                <w:bCs/>
                <w:sz w:val="21"/>
                <w:szCs w:val="21"/>
              </w:rPr>
              <w:t xml:space="preserve">评分</w:t>
            </w:r>
          </w:p>
        </w:tc>
        <w:tc>
          <w:tcPr>
            <w:tcW w:type="dxa" w:w="3000"/>
            <w:shd w:fill="E8EEF3" w:val="clear"/>
          </w:tcPr>
          <w:p>
            <w:r>
              <w:rPr>
                <w:b/>
                <w:bCs/>
                <w:sz w:val="21"/>
                <w:szCs w:val="21"/>
              </w:rPr>
              <w:t xml:space="preserve">平均配送天数</w:t>
            </w:r>
          </w:p>
        </w:tc>
        <w:tc>
          <w:tcPr>
            <w:tcW w:type="dxa" w:w="2000"/>
            <w:shd w:fill="E8EEF3" w:val="clear"/>
          </w:tcPr>
          <w:p>
            <w:r>
              <w:rPr>
                <w:b/>
                <w:bCs/>
                <w:sz w:val="21"/>
                <w:szCs w:val="21"/>
              </w:rPr>
              <w:t xml:space="preserve">中位数</w:t>
            </w:r>
          </w:p>
        </w:tc>
        <w:tc>
          <w:tcPr>
            <w:tcW w:type="dxa" w:w="2400"/>
            <w:shd w:fill="E8EEF3" w:val="clear"/>
          </w:tcPr>
          <w:p>
            <w:r>
              <w:rPr>
                <w:b/>
                <w:bCs/>
                <w:sz w:val="21"/>
                <w:szCs w:val="21"/>
              </w:rPr>
              <w:t xml:space="preserve">样本量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1星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20.85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16.0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9,409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2星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16.19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13.0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2,941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3星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13.80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12.0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7,962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4星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11.85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10.0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18,987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5星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10.22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9.0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57,060</w:t>
            </w:r>
          </w:p>
        </w:tc>
      </w:tr>
    </w:tbl>
    <w:p>
      <w:pPr>
        <w:spacing w:after="200"/>
      </w:pPr>
    </w:p>
    <w:p>
      <w:pPr>
        <w:spacing w:after="80" w:before="1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8"/>
          <w:szCs w:val="18"/>
        </w:rPr>
        <w:t xml:space="preserve">图5: 配送天数按评分分组的箱线图</w:t>
      </w:r>
    </w:p>
    <w:p>
      <w:pPr>
        <w:spacing w:after="160"/>
      </w:pPr>
      <w:r>
        <w:rPr>
          <w:b w:val="false"/>
          <w:bCs w:val="false"/>
        </w:rPr>
        <w:t xml:space="preserve">评分越高,配送时长的分布(均值、中位数、四分位区间)整体越短,呈现出清晰的单调关系。</w:t>
      </w:r>
    </w:p>
    <w:p>
      <w:pPr>
        <w:pStyle w:val="Heading2"/>
        <w:spacing w:after="150" w:before="300"/>
      </w:pPr>
      <w:r>
        <w:t xml:space="preserve">5.2 假设检验</w:t>
      </w:r>
    </w:p>
    <w:p>
      <w:pPr>
        <w:spacing w:after="160"/>
      </w:pPr>
      <w:r>
        <w:rPr>
          <w:b w:val="false"/>
          <w:bCs w:val="false"/>
        </w:rPr>
        <w:t xml:space="preserve">采用 Spearman 等级相关检验(适用于有序分类变量与连续变量的单调关系检验):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H0: 配送天数与评分之间无单调关系(ρ = 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H1: 两者存在单调关系(ρ ≠ 0)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结果: ρ = -0.2344, p &lt; 0.001 → 拒绝原假设,配送时长与满意度评分存在统计显著的负相关关系</w:t>
      </w:r>
    </w:p>
    <w:p>
      <w:pPr>
        <w:spacing w:after="160"/>
      </w:pPr>
      <w:r>
        <w:rPr>
          <w:b/>
          <w:bCs/>
        </w:rPr>
        <w:t xml:space="preserve">解读需谨慎: 样本量高达96,359,在如此大的样本下即使较弱的相关性也容易达到统计显著。ρ = -0.23 属于弱到中等强度的相关,说明配送速度是影响客户满意度的因素之一,但并非唯一决定因素,不宜过度解读为强因果关系。后续可加入商品品类、价格区间等变量做更完整的多因素分析。</w:t>
      </w:r>
    </w:p>
    <w:p>
      <w:pPr>
        <w:pStyle w:val="Heading1"/>
        <w:spacing w:after="200" w:before="400"/>
      </w:pPr>
      <w:r>
        <w:t xml:space="preserve">六、结论与建议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业务持续增长,但高度依赖单一区域市场(SP州),建议评估其他州的拓展潜力,分散经营风险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复购率是当前最大的短板(仅3.12%),相比持续获客,改善复购机制(会员体系、复购券等)可能带来更高的边际收益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 Risk 高价值流失客户是优先召回对象,其历史消费能力已被验证,召回成本预期低于同等价值的新客获取成本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配送时效与满意度显著相关,虽非唯一因素,但仍是可优化、见效相对直接的运营抓手,建议重点关注配送时长在15天以上的长尾订单</w:t>
      </w:r>
    </w:p>
    <w:p>
      <w:pPr>
        <w:pStyle w:val="Heading1"/>
        <w:spacing w:after="200" w:before="400"/>
      </w:pPr>
      <w:r>
        <w:t xml:space="preserve">七、分析局限性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数据集本身不包含营销活动、价格调整等外部事件记录,部分趋势(如销售峰值)只能推测原因,无法直接验证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RFM 分层方法基于分位数打分,阈值设定带有一定主观性,可作为业务决策的参考起点,而非唯一依据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配送时效与满意度的相关分析未控制商品类型、价格等混杂变量,后续可用多元回归进一步拆解各因素的独立贡献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055b291294a92d7496f975fc07fa21874b0c10.png"/><Relationship Id="rId8" Type="http://schemas.openxmlformats.org/officeDocument/2006/relationships/image" Target="media/2ba36f44dc66d59645a79407aca90c58865278b0.png"/><Relationship Id="rId9" Type="http://schemas.openxmlformats.org/officeDocument/2006/relationships/image" Target="media/45784f9a971b7e1a1a93c5d0457679ff2a69f15c.png"/><Relationship Id="rId10" Type="http://schemas.openxmlformats.org/officeDocument/2006/relationships/image" Target="media/a34e84b31bdb20db96175bfa4238b796b181388c.png"/><Relationship Id="rId11" Type="http://schemas.openxmlformats.org/officeDocument/2006/relationships/image" Target="media/137f6b77d65fcbf4f7c4e3dfe3843f138f6634d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2026-07-17T07:09:38.494Z</dcterms:created>
  <dcterms:modified xsi:type="dcterms:W3CDTF">2026-07-17T07:09:38.505Z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