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CD346" w14:textId="77777777" w:rsidR="003B31F4" w:rsidRPr="003B31F4" w:rsidRDefault="003B31F4" w:rsidP="003B31F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3B31F4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</w:rPr>
        <w:t>Ovarian Cancer</w:t>
      </w:r>
    </w:p>
    <w:p w14:paraId="3821FC52" w14:textId="77777777" w:rsidR="003B31F4" w:rsidRPr="003B31F4" w:rsidRDefault="003B31F4" w:rsidP="003B31F4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The most common cause of </w:t>
      </w:r>
      <w:r w:rsidRPr="003B31F4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</w:rPr>
        <w:t>gynecologic</w:t>
      </w: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r w:rsidRPr="003B31F4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</w:rPr>
        <w:t>death</w:t>
      </w:r>
    </w:p>
    <w:p w14:paraId="0AD9B21B" w14:textId="77777777" w:rsidR="003B31F4" w:rsidRPr="003B31F4" w:rsidRDefault="003B31F4" w:rsidP="003B31F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Peak incidence: age 65–75 years</w:t>
      </w:r>
    </w:p>
    <w:p w14:paraId="5C9260E4" w14:textId="77777777" w:rsidR="003B31F4" w:rsidRPr="003B31F4" w:rsidRDefault="003B31F4" w:rsidP="003B31F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Prevalence: 1 in 70 (1.43%)</w:t>
      </w:r>
    </w:p>
    <w:p w14:paraId="769BF5AC" w14:textId="77777777" w:rsidR="003B31F4" w:rsidRPr="003B31F4" w:rsidRDefault="003B31F4" w:rsidP="003B31F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</w:rPr>
        <w:t>Most common stage @ diagnosis = stage 3 </w:t>
      </w:r>
    </w:p>
    <w:p w14:paraId="582CC86F" w14:textId="77777777" w:rsidR="003B31F4" w:rsidRPr="003B31F4" w:rsidRDefault="003B31F4" w:rsidP="003B31F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Rf: old age, family </w:t>
      </w:r>
      <w:proofErr w:type="spellStart"/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hx</w:t>
      </w:r>
      <w:proofErr w:type="spellEnd"/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, infertility, late menopause, nulliparity </w:t>
      </w:r>
    </w:p>
    <w:p w14:paraId="49123B64" w14:textId="77777777" w:rsidR="003B31F4" w:rsidRPr="003B31F4" w:rsidRDefault="003B31F4" w:rsidP="003B31F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Protective factors: hormonal contraception (OCP decreases risk by 30-50%), tubal ligation (decreases risk by 65% if salpingectomy; 25% if no salpingectomy), hysterectomy </w:t>
      </w:r>
    </w:p>
    <w:p w14:paraId="5B7D48D6" w14:textId="77777777" w:rsidR="003B31F4" w:rsidRPr="003B31F4" w:rsidRDefault="003B31F4" w:rsidP="003B31F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proofErr w:type="spellStart"/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Sx</w:t>
      </w:r>
      <w:proofErr w:type="spellEnd"/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: vague gastrointestinal symptoms, early satiety, bloating, abdominal or pelvic pain</w:t>
      </w:r>
    </w:p>
    <w:p w14:paraId="70602DF4" w14:textId="77777777" w:rsidR="003B31F4" w:rsidRPr="003B31F4" w:rsidRDefault="003B31F4" w:rsidP="003B31F4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</w:rPr>
        <w:t xml:space="preserve">Hydrops </w:t>
      </w:r>
      <w:proofErr w:type="spellStart"/>
      <w:r w:rsidRPr="003B31F4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</w:rPr>
        <w:t>tubae</w:t>
      </w:r>
      <w:proofErr w:type="spellEnd"/>
      <w:r w:rsidRPr="003B31F4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</w:rPr>
        <w:t xml:space="preserve"> </w:t>
      </w:r>
      <w:proofErr w:type="spellStart"/>
      <w:r w:rsidRPr="003B31F4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</w:rPr>
        <w:t>profluens</w:t>
      </w:r>
      <w:proofErr w:type="spellEnd"/>
      <w:r w:rsidRPr="003B31F4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</w:rPr>
        <w:t xml:space="preserve">: </w:t>
      </w: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colicky lower abdominal pain relieved by a profuse, serous, watery, yellow vaginal discharge (very rare but pathognomonic of primary tubal cancer)</w:t>
      </w:r>
    </w:p>
    <w:p w14:paraId="34CFDF47" w14:textId="77777777" w:rsidR="003B31F4" w:rsidRPr="003B31F4" w:rsidRDefault="003B31F4" w:rsidP="003B31F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PE and imaging: adnexal mass</w:t>
      </w:r>
    </w:p>
    <w:p w14:paraId="25B58761" w14:textId="77777777" w:rsidR="003B31F4" w:rsidRPr="003B31F4" w:rsidRDefault="003B31F4" w:rsidP="003B31F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Most common histologic type: epithelial (serous) carcinoma</w:t>
      </w:r>
    </w:p>
    <w:p w14:paraId="40174CE2" w14:textId="77777777" w:rsidR="003B31F4" w:rsidRPr="003B31F4" w:rsidRDefault="003B31F4" w:rsidP="003B31F4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Tumor marker: CA 125</w:t>
      </w:r>
    </w:p>
    <w:p w14:paraId="58ED603A" w14:textId="77777777" w:rsidR="003B31F4" w:rsidRPr="003B31F4" w:rsidRDefault="003B31F4" w:rsidP="003B31F4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Rule out germ cell tumors in patients &lt; 30 years old with tumor markers such as </w:t>
      </w:r>
      <w:proofErr w:type="spellStart"/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hCG</w:t>
      </w:r>
      <w:proofErr w:type="spellEnd"/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and AFP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1"/>
        <w:gridCol w:w="1406"/>
        <w:gridCol w:w="5203"/>
      </w:tblGrid>
      <w:tr w:rsidR="003B31F4" w:rsidRPr="003B31F4" w14:paraId="5A0F382A" w14:textId="77777777">
        <w:trPr>
          <w:trHeight w:val="400"/>
        </w:trPr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18104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Germ cell tumor</w:t>
            </w:r>
          </w:p>
        </w:tc>
      </w:tr>
      <w:tr w:rsidR="003B31F4" w:rsidRPr="003B31F4" w14:paraId="136C1DD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EA8890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Dysgerminoma </w:t>
            </w:r>
          </w:p>
          <w:p w14:paraId="0485C5F9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(35-50%)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0883C7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LDH, HCG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4241D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Significant bilateral involvement </w:t>
            </w:r>
          </w:p>
          <w:p w14:paraId="09DA3691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Fried egg cells (cytoplasmic glycogen with PAS stain)</w:t>
            </w:r>
          </w:p>
        </w:tc>
      </w:tr>
      <w:tr w:rsidR="003B31F4" w:rsidRPr="003B31F4" w14:paraId="5114769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16752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Embryonal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A580B1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AFP, HCG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6E038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Syncytiotrophoblast</w:t>
            </w:r>
            <w:proofErr w:type="spellEnd"/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-like tumor cells </w:t>
            </w:r>
          </w:p>
        </w:tc>
      </w:tr>
      <w:tr w:rsidR="003B31F4" w:rsidRPr="003B31F4" w14:paraId="26291A2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178709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Immature teratoma</w:t>
            </w:r>
          </w:p>
          <w:p w14:paraId="36A42383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(36%)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317C1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AFP, LDH, CA 125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325AB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Immature neuroectodermal tissue</w:t>
            </w:r>
          </w:p>
        </w:tc>
      </w:tr>
      <w:tr w:rsidR="003B31F4" w:rsidRPr="003B31F4" w14:paraId="7B236E4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D9FA4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Choriocarcinoma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421D02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HCG</w:t>
            </w: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5FCC0A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 xml:space="preserve">Sheets of anaplastic cytotrophoblasts and </w:t>
            </w:r>
            <w:proofErr w:type="spellStart"/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syncytiotrophoblasts</w:t>
            </w:r>
            <w:proofErr w:type="spellEnd"/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 xml:space="preserve"> without chorionic villi </w:t>
            </w:r>
          </w:p>
        </w:tc>
      </w:tr>
      <w:tr w:rsidR="003B31F4" w:rsidRPr="003B31F4" w14:paraId="52597B0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4A810C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Yolk sac tumor (endodermal sinus tumor)</w:t>
            </w:r>
          </w:p>
          <w:p w14:paraId="5A45685F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(20%)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C1FB80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AFP</w:t>
            </w: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, LDH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DA220F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Shiller-Duval bodies (resemble glomeruli; a central capillary surrounded by connective tissue and a peripheral layer of columnar cells)</w:t>
            </w:r>
          </w:p>
        </w:tc>
      </w:tr>
      <w:tr w:rsidR="003B31F4" w:rsidRPr="003B31F4" w14:paraId="01B4DB1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D0C23C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Gonadoblastoma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B84EB6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E2, inhibin, T, DHEA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B090EF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3B31F4" w:rsidRPr="003B31F4" w14:paraId="4706BA62" w14:textId="77777777">
        <w:trPr>
          <w:trHeight w:val="400"/>
        </w:trPr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46F3E1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Sex cord-stromal tumor</w:t>
            </w:r>
          </w:p>
        </w:tc>
      </w:tr>
      <w:tr w:rsidR="003B31F4" w:rsidRPr="003B31F4" w14:paraId="1FDFD01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9228F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Granulosa cell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1FA371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Inhibin, E2, 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DD136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Coffee bean nuclei, Call Exner bodies (microfollicular pattern with numerous small cavities that contain eosinophilic fluid) </w:t>
            </w:r>
          </w:p>
        </w:tc>
      </w:tr>
      <w:tr w:rsidR="003B31F4" w:rsidRPr="003B31F4" w14:paraId="4118785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3E1901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Sertoli Leydig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22CBB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AFP, E2, Inhibin, T, DHEA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8AD4F4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Reinke crystal (crystals in cytoplasmic inclusions) </w:t>
            </w:r>
          </w:p>
        </w:tc>
      </w:tr>
      <w:tr w:rsidR="003B31F4" w:rsidRPr="003B31F4" w14:paraId="19890AD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EA548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Fibroma/fibrosarcoma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A7B404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B1D6C5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3B31F4" w:rsidRPr="003B31F4" w14:paraId="5949851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11087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Thecoma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93D6A5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9E5C58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3B31F4" w:rsidRPr="003B31F4" w14:paraId="654244E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83BD7C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Sclerosing stromal tumor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94118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132A15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3B31F4" w:rsidRPr="003B31F4" w14:paraId="425E9310" w14:textId="77777777">
        <w:trPr>
          <w:trHeight w:val="400"/>
        </w:trPr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5AA451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lastRenderedPageBreak/>
              <w:t xml:space="preserve">Epithelial carcinoma </w:t>
            </w: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 </w:t>
            </w:r>
          </w:p>
        </w:tc>
      </w:tr>
      <w:tr w:rsidR="003B31F4" w:rsidRPr="003B31F4" w14:paraId="258F741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3CAC45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Cystadenocarcinoma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A9BCA4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CA 125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6B6CC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Psammoma bodies (round central area with surrounding collections of calcium) </w:t>
            </w:r>
          </w:p>
        </w:tc>
      </w:tr>
    </w:tbl>
    <w:p w14:paraId="0B64A6B7" w14:textId="5F9550DD" w:rsidR="003B31F4" w:rsidRPr="003B31F4" w:rsidRDefault="003B31F4" w:rsidP="003B31F4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</w:rPr>
      </w:pPr>
      <w:r w:rsidRPr="003B31F4">
        <w:rPr>
          <w:rFonts w:ascii="Arial" w:eastAsia="Times New Roman" w:hAnsi="Arial" w:cs="Arial"/>
          <w:noProof/>
          <w:color w:val="000000"/>
          <w:kern w:val="0"/>
          <w:sz w:val="20"/>
          <w:szCs w:val="20"/>
          <w:bdr w:val="none" w:sz="0" w:space="0" w:color="auto" w:frame="1"/>
        </w:rPr>
        <w:drawing>
          <wp:inline distT="0" distB="0" distL="0" distR="0" wp14:anchorId="19D596CB" wp14:editId="058522D1">
            <wp:extent cx="5196205" cy="4105910"/>
            <wp:effectExtent l="0" t="0" r="0" b="0"/>
            <wp:docPr id="8583216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205" cy="410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C7B98" w14:textId="61BF3F0A" w:rsidR="003B31F4" w:rsidRPr="003B31F4" w:rsidRDefault="003B31F4" w:rsidP="003B31F4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</w:rPr>
      </w:pPr>
      <w:r w:rsidRPr="003B31F4">
        <w:rPr>
          <w:rFonts w:ascii="Arial" w:eastAsia="Times New Roman" w:hAnsi="Arial" w:cs="Arial"/>
          <w:noProof/>
          <w:color w:val="000000"/>
          <w:kern w:val="0"/>
          <w:sz w:val="20"/>
          <w:szCs w:val="20"/>
          <w:bdr w:val="none" w:sz="0" w:space="0" w:color="auto" w:frame="1"/>
        </w:rPr>
        <w:drawing>
          <wp:inline distT="0" distB="0" distL="0" distR="0" wp14:anchorId="3206A7B7" wp14:editId="74A464E3">
            <wp:extent cx="4202430" cy="2708275"/>
            <wp:effectExtent l="0" t="0" r="1270" b="0"/>
            <wp:docPr id="66929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243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E4A24" w14:textId="77777777" w:rsidR="003B31F4" w:rsidRPr="003B31F4" w:rsidRDefault="003B31F4" w:rsidP="003B31F4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lastRenderedPageBreak/>
        <w:t>Routine screening not recommended (lack of benefit)</w:t>
      </w:r>
    </w:p>
    <w:p w14:paraId="7B6F0B56" w14:textId="77777777" w:rsidR="003B31F4" w:rsidRPr="003B31F4" w:rsidRDefault="003B31F4" w:rsidP="003B31F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Most commonly spreads via </w:t>
      </w:r>
      <w:r w:rsidRPr="003B31F4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</w:rPr>
        <w:t xml:space="preserve">exfoliation </w:t>
      </w: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throughout the peritoneal cavity </w:t>
      </w:r>
    </w:p>
    <w:p w14:paraId="6E12CE49" w14:textId="77777777" w:rsidR="003B31F4" w:rsidRPr="003B31F4" w:rsidRDefault="003B31F4" w:rsidP="003B31F4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Malignant cells follow the normal clockwise circulation of peritoneal fluid and implant in the R paracolic gutter and the undersurface of the R hemidiaphragm </w:t>
      </w:r>
    </w:p>
    <w:p w14:paraId="6280C3DF" w14:textId="77777777" w:rsidR="003B31F4" w:rsidRPr="003B31F4" w:rsidRDefault="003B31F4" w:rsidP="003B31F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</w:rPr>
        <w:t>Surgical staging (10 steps)</w:t>
      </w:r>
    </w:p>
    <w:p w14:paraId="00E73DDF" w14:textId="77777777" w:rsidR="003B31F4" w:rsidRPr="003B31F4" w:rsidRDefault="003B31F4" w:rsidP="003B31F4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Cytological evaluation of peritoneal fluid </w:t>
      </w:r>
    </w:p>
    <w:p w14:paraId="423D5127" w14:textId="77777777" w:rsidR="003B31F4" w:rsidRPr="003B31F4" w:rsidRDefault="003B31F4" w:rsidP="003B31F4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Biopsy of the abdominal and peritoneal surfaces </w:t>
      </w:r>
    </w:p>
    <w:p w14:paraId="455F2766" w14:textId="77777777" w:rsidR="003B31F4" w:rsidRPr="003B31F4" w:rsidRDefault="003B31F4" w:rsidP="003B31F4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Lymph node dissection (pelvic and infrarenal paraaortic lymphadenectomy) </w:t>
      </w:r>
    </w:p>
    <w:p w14:paraId="6E775E60" w14:textId="77777777" w:rsidR="003B31F4" w:rsidRPr="003B31F4" w:rsidRDefault="003B31F4" w:rsidP="003B31F4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Cytoreduction (debulking) of any visible tumors - optimal debulking is &lt; 1cm of residual disease</w:t>
      </w:r>
    </w:p>
    <w:p w14:paraId="746C7F69" w14:textId="77777777" w:rsidR="003B31F4" w:rsidRPr="003B31F4" w:rsidRDefault="003B31F4" w:rsidP="003B31F4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Omentectomy: to reduce tumor bulk and to reduce postop ascites</w:t>
      </w:r>
    </w:p>
    <w:p w14:paraId="0160C6A0" w14:textId="77777777" w:rsidR="003B31F4" w:rsidRPr="003B31F4" w:rsidRDefault="003B31F4" w:rsidP="003B31F4">
      <w:pPr>
        <w:numPr>
          <w:ilvl w:val="2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In the absence of gross extraovarian disease, the </w:t>
      </w:r>
      <w:proofErr w:type="spellStart"/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infracolic</w:t>
      </w:r>
      <w:proofErr w:type="spellEnd"/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omentum</w:t>
      </w:r>
      <w:proofErr w:type="spellEnd"/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should be removed or at least biopsied   </w:t>
      </w:r>
    </w:p>
    <w:p w14:paraId="78B095C1" w14:textId="77777777" w:rsidR="003B31F4" w:rsidRPr="003B31F4" w:rsidRDefault="003B31F4" w:rsidP="003B31F4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Hysterectomy</w:t>
      </w:r>
    </w:p>
    <w:p w14:paraId="296DFEB5" w14:textId="77777777" w:rsidR="003B31F4" w:rsidRPr="003B31F4" w:rsidRDefault="003B31F4" w:rsidP="003B31F4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BSO </w:t>
      </w:r>
    </w:p>
    <w:p w14:paraId="7BD132DA" w14:textId="77777777" w:rsidR="003B31F4" w:rsidRPr="003B31F4" w:rsidRDefault="003B31F4" w:rsidP="003B31F4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+/- appendectomy </w:t>
      </w:r>
    </w:p>
    <w:p w14:paraId="2398D1E1" w14:textId="77777777" w:rsidR="003B31F4" w:rsidRPr="003B31F4" w:rsidRDefault="003B31F4" w:rsidP="003B31F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Laparoscopic evaluation of the abdomen and pelvis to determine whether the tumor volume is </w:t>
      </w:r>
      <w:proofErr w:type="spellStart"/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resectable</w:t>
      </w:r>
      <w:proofErr w:type="spellEnd"/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might help surgeon decide whether the patient is a good candidate for up-front cytoreduction  </w:t>
      </w:r>
    </w:p>
    <w:p w14:paraId="38B861CE" w14:textId="77777777" w:rsidR="003B31F4" w:rsidRPr="003B31F4" w:rsidRDefault="003B31F4" w:rsidP="003B31F4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</w:rPr>
        <w:t>To assess the chance of optimal cytoreduction</w:t>
      </w:r>
    </w:p>
    <w:p w14:paraId="148CF71A" w14:textId="77777777" w:rsidR="003B31F4" w:rsidRPr="003B31F4" w:rsidRDefault="003B31F4" w:rsidP="003B31F4">
      <w:pPr>
        <w:numPr>
          <w:ilvl w:val="1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Score 10 or higher: the chance of achieving complete primary debulking was 0 → need NACT first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7138"/>
      </w:tblGrid>
      <w:tr w:rsidR="003B31F4" w:rsidRPr="003B31F4" w14:paraId="351E23D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05D0F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2F06A0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Score 2</w:t>
            </w:r>
          </w:p>
        </w:tc>
      </w:tr>
      <w:tr w:rsidR="003B31F4" w:rsidRPr="003B31F4" w14:paraId="569ED91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177F2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Peritoneal carcinomatosis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736963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 xml:space="preserve">Unresectable massive peritoneal involvement as well as with a </w:t>
            </w:r>
            <w:r w:rsidRPr="003B31F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miliary pattern</w:t>
            </w: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 xml:space="preserve"> of distribution </w:t>
            </w:r>
          </w:p>
        </w:tc>
      </w:tr>
      <w:tr w:rsidR="003B31F4" w:rsidRPr="003B31F4" w14:paraId="67502F2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FA8D23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Diaphragmatic disease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054C62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Widespread infiltrating carcinomatosis or nodules </w:t>
            </w: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confluent in most of the diaphragmatic surface</w:t>
            </w:r>
          </w:p>
        </w:tc>
      </w:tr>
      <w:tr w:rsidR="003B31F4" w:rsidRPr="003B31F4" w14:paraId="3B28630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2EE0FD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Mesenteric disease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A0541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 xml:space="preserve">Large infiltrating nodules or involvement of the root of the mesentery indicated by </w:t>
            </w:r>
            <w:r w:rsidRPr="003B31F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limited movement</w:t>
            </w: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 xml:space="preserve"> of the various intestinal segments</w:t>
            </w:r>
          </w:p>
        </w:tc>
      </w:tr>
      <w:tr w:rsidR="003B31F4" w:rsidRPr="003B31F4" w14:paraId="29B7574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6D0520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Omental disease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A6BD3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 xml:space="preserve">Tumor diffusion observed along the </w:t>
            </w:r>
            <w:proofErr w:type="spellStart"/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omentum</w:t>
            </w:r>
            <w:proofErr w:type="spellEnd"/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 xml:space="preserve"> up to the large stomach curvature </w:t>
            </w:r>
          </w:p>
        </w:tc>
      </w:tr>
      <w:tr w:rsidR="003B31F4" w:rsidRPr="003B31F4" w14:paraId="5E11707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9BAED4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Bowel infiltration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8F0721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Bowel resection assumed or miliary carcinomatosis on the serosa observed </w:t>
            </w:r>
          </w:p>
        </w:tc>
      </w:tr>
      <w:tr w:rsidR="003B31F4" w:rsidRPr="003B31F4" w14:paraId="2108B31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13E875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Stomach infiltration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9B3EF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Obvious neoplastic involvement of the gastric wall</w:t>
            </w:r>
          </w:p>
        </w:tc>
      </w:tr>
      <w:tr w:rsidR="003B31F4" w:rsidRPr="003B31F4" w14:paraId="6BED77C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B35F8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Liver </w:t>
            </w:r>
            <w:proofErr w:type="spellStart"/>
            <w:r w:rsidRPr="003B31F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mets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E26946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Any surface lesion</w:t>
            </w:r>
          </w:p>
        </w:tc>
      </w:tr>
    </w:tbl>
    <w:p w14:paraId="1018BC80" w14:textId="77777777" w:rsidR="003B31F4" w:rsidRPr="003B31F4" w:rsidRDefault="003B31F4" w:rsidP="003B31F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3B31F4">
        <w:rPr>
          <w:rFonts w:ascii="Times New Roman" w:eastAsia="Times New Roman" w:hAnsi="Times New Roman" w:cs="Times New Roman"/>
          <w:color w:val="000000"/>
          <w:kern w:val="0"/>
        </w:rPr>
        <w:br/>
      </w:r>
    </w:p>
    <w:p w14:paraId="20043E9D" w14:textId="77777777" w:rsidR="003B31F4" w:rsidRPr="003B31F4" w:rsidRDefault="003B31F4" w:rsidP="003B31F4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Prognosis: </w:t>
      </w:r>
      <w:proofErr w:type="gramStart"/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5 year</w:t>
      </w:r>
      <w:proofErr w:type="gramEnd"/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survival rate is 50% </w:t>
      </w:r>
    </w:p>
    <w:p w14:paraId="5DE2C4C8" w14:textId="77777777" w:rsidR="003B31F4" w:rsidRPr="003B31F4" w:rsidRDefault="003B31F4" w:rsidP="003B31F4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Prevention:</w:t>
      </w:r>
    </w:p>
    <w:p w14:paraId="5FA40BE3" w14:textId="77777777" w:rsidR="003B31F4" w:rsidRPr="003B31F4" w:rsidRDefault="003B31F4" w:rsidP="003B31F4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COCs ↓ risk by 30–50%</w:t>
      </w:r>
    </w:p>
    <w:p w14:paraId="3368FE80" w14:textId="77777777" w:rsidR="003B31F4" w:rsidRPr="003B31F4" w:rsidRDefault="003B31F4" w:rsidP="003B31F4">
      <w:pPr>
        <w:numPr>
          <w:ilvl w:val="1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Bilateral salpingectomy ↓ risk by 65% (specifically serous endometrioid and clear cell carcinomas)</w:t>
      </w:r>
    </w:p>
    <w:p w14:paraId="5DF831B7" w14:textId="77777777" w:rsidR="003B31F4" w:rsidRPr="003B31F4" w:rsidRDefault="003B31F4" w:rsidP="003B31F4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3B31F4">
        <w:rPr>
          <w:rFonts w:ascii="Arial" w:eastAsia="Times New Roman" w:hAnsi="Arial" w:cs="Arial"/>
          <w:i/>
          <w:iCs/>
          <w:color w:val="000000"/>
          <w:kern w:val="0"/>
          <w:sz w:val="20"/>
          <w:szCs w:val="20"/>
        </w:rPr>
        <w:t>Simplified staging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3282"/>
        <w:gridCol w:w="5491"/>
      </w:tblGrid>
      <w:tr w:rsidR="003B31F4" w:rsidRPr="003B31F4" w14:paraId="79EFE5C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822AF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lastRenderedPageBreak/>
              <w:t>1A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747F4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Confined in one ovary/tube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100DD7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3B31F4" w:rsidRPr="003B31F4" w14:paraId="73EDA14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E894B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1B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F5A3BC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Both ovaries/tubes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76AEB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3B31F4" w:rsidRPr="003B31F4" w14:paraId="4B65410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51B7F9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1C1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BC3B8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Spill during surgery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6031D9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Chemo</w:t>
            </w:r>
          </w:p>
        </w:tc>
      </w:tr>
      <w:tr w:rsidR="003B31F4" w:rsidRPr="003B31F4" w14:paraId="2F0EEE5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7C724D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1C2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9B5C2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Rupture before surgery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FEBFC0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3B31F4" w:rsidRPr="003B31F4" w14:paraId="5E5FE74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DB0F71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1C3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EC61F3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</w:rPr>
              <w:t>Malignant cells in ascites or peritoneal washing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76A9E1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3B31F4" w:rsidRPr="003B31F4" w14:paraId="7D368A3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38F7D2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2A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880962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Uterus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CC321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3B31F4" w:rsidRPr="003B31F4" w14:paraId="7BDE98B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629B1C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2B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E53D30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Bladder, sigmoid, rectum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69473B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3B31F4" w:rsidRPr="003B31F4" w14:paraId="22F7BA4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6A9F6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3A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2FC4A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 xml:space="preserve">Peritoneum outside of pelvis, </w:t>
            </w:r>
            <w:proofErr w:type="spellStart"/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mets</w:t>
            </w:r>
            <w:proofErr w:type="spellEnd"/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 xml:space="preserve"> to the retroperitoneal lymph nodes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56605" w14:textId="77777777" w:rsidR="003B31F4" w:rsidRPr="003B31F4" w:rsidRDefault="003B31F4" w:rsidP="003B31F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Surgical staging and debulking → 6 cycles IV paclitaxel followed by intraperitoneal carboplatin and intraperitoneal paclitaxel every 3 weeks </w:t>
            </w:r>
          </w:p>
          <w:p w14:paraId="57779E10" w14:textId="77777777" w:rsidR="003B31F4" w:rsidRPr="003B31F4" w:rsidRDefault="003B31F4" w:rsidP="003B31F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 xml:space="preserve">Platinum + </w:t>
            </w:r>
            <w:proofErr w:type="spellStart"/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Taxel</w:t>
            </w:r>
            <w:proofErr w:type="spellEnd"/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 xml:space="preserve"> (can be replaced by gemcitabine or doxorubicin) + Bevacizumab for those with suboptimal debulking </w:t>
            </w:r>
          </w:p>
        </w:tc>
      </w:tr>
      <w:tr w:rsidR="003B31F4" w:rsidRPr="003B31F4" w14:paraId="1F50179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145C7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CEA7ED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 xml:space="preserve">Distant </w:t>
            </w:r>
            <w:proofErr w:type="spellStart"/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mets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0D179F" w14:textId="77777777" w:rsidR="003B31F4" w:rsidRPr="003B31F4" w:rsidRDefault="003B31F4" w:rsidP="003B31F4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 xml:space="preserve">Platinum + </w:t>
            </w:r>
            <w:proofErr w:type="spellStart"/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Taxel</w:t>
            </w:r>
            <w:proofErr w:type="spellEnd"/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 xml:space="preserve"> (can be replaced by gemcitabine or doxorubicin if getting peripheral neuropathy from </w:t>
            </w:r>
            <w:proofErr w:type="spellStart"/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taxel</w:t>
            </w:r>
            <w:proofErr w:type="spellEnd"/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) + Bevacizumab </w:t>
            </w:r>
          </w:p>
        </w:tc>
      </w:tr>
    </w:tbl>
    <w:p w14:paraId="5EA5B3C0" w14:textId="77777777" w:rsidR="003B31F4" w:rsidRPr="003B31F4" w:rsidRDefault="003B31F4" w:rsidP="003B31F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**Radiation is not indicated for metastasized disease since there is no good singular target for radiation </w:t>
      </w:r>
    </w:p>
    <w:p w14:paraId="15EDB9EC" w14:textId="77777777" w:rsidR="003B31F4" w:rsidRPr="003B31F4" w:rsidRDefault="003B31F4" w:rsidP="003B31F4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14:paraId="5C025F29" w14:textId="77777777" w:rsidR="003B31F4" w:rsidRPr="003B31F4" w:rsidRDefault="003B31F4" w:rsidP="003B31F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3B31F4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</w:rPr>
        <w:t>Ovarian Germ Cell Tumors</w:t>
      </w:r>
    </w:p>
    <w:p w14:paraId="62098C39" w14:textId="77777777" w:rsidR="003B31F4" w:rsidRPr="003B31F4" w:rsidRDefault="003B31F4" w:rsidP="003B31F4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Dysgerminoma </w:t>
      </w:r>
    </w:p>
    <w:p w14:paraId="235548DD" w14:textId="77777777" w:rsidR="003B31F4" w:rsidRPr="003B31F4" w:rsidRDefault="003B31F4" w:rsidP="003B31F4">
      <w:pPr>
        <w:numPr>
          <w:ilvl w:val="1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&gt;98% survival rate with platinum-based agents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2463"/>
      </w:tblGrid>
      <w:tr w:rsidR="003B31F4" w:rsidRPr="003B31F4" w14:paraId="52BFA4D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D91E2E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Stage IA and IB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780A9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Surgery</w:t>
            </w:r>
          </w:p>
        </w:tc>
      </w:tr>
      <w:tr w:rsidR="003B31F4" w:rsidRPr="003B31F4" w14:paraId="5A53671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23B6F5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Stage IC, II, III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2E893A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Surgery + BEP x 3 cycles</w:t>
            </w:r>
          </w:p>
        </w:tc>
      </w:tr>
      <w:tr w:rsidR="003B31F4" w:rsidRPr="003B31F4" w14:paraId="7463A1C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5A75B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Stage IV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22009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Surgery + BEP x 4 cycles</w:t>
            </w:r>
          </w:p>
        </w:tc>
      </w:tr>
    </w:tbl>
    <w:p w14:paraId="2D433FF1" w14:textId="77777777" w:rsidR="003B31F4" w:rsidRPr="003B31F4" w:rsidRDefault="003B31F4" w:rsidP="003B31F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3B31F4">
        <w:rPr>
          <w:rFonts w:ascii="Times New Roman" w:eastAsia="Times New Roman" w:hAnsi="Times New Roman" w:cs="Times New Roman"/>
          <w:color w:val="000000"/>
          <w:kern w:val="0"/>
        </w:rPr>
        <w:br/>
      </w:r>
    </w:p>
    <w:p w14:paraId="07F8CDCE" w14:textId="77777777" w:rsidR="003B31F4" w:rsidRPr="003B31F4" w:rsidRDefault="003B31F4" w:rsidP="003B31F4">
      <w:pPr>
        <w:numPr>
          <w:ilvl w:val="0"/>
          <w:numId w:val="5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Immature teratoma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1"/>
        <w:gridCol w:w="2640"/>
      </w:tblGrid>
      <w:tr w:rsidR="003B31F4" w:rsidRPr="003B31F4" w14:paraId="6EFEFD9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FC15B9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Stage I, Grade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A5BC2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Surgery</w:t>
            </w:r>
          </w:p>
        </w:tc>
      </w:tr>
      <w:tr w:rsidR="003B31F4" w:rsidRPr="003B31F4" w14:paraId="0833D24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526038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Stage I Ruptured or Grade 2 or 3, or Stage II/III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21531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Surgery + BEP x 3 cycles</w:t>
            </w:r>
          </w:p>
        </w:tc>
      </w:tr>
      <w:tr w:rsidR="003B31F4" w:rsidRPr="003B31F4" w14:paraId="386EE7C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64FE6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lastRenderedPageBreak/>
              <w:t>Stage IV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03F230" w14:textId="77777777" w:rsidR="003B31F4" w:rsidRPr="003B31F4" w:rsidRDefault="003B31F4" w:rsidP="003B31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</w:rPr>
            </w:pPr>
            <w:r w:rsidRPr="003B31F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</w:rPr>
              <w:t>Surgery + BEP x 4-6 cycles</w:t>
            </w:r>
          </w:p>
        </w:tc>
      </w:tr>
    </w:tbl>
    <w:p w14:paraId="11BF0DBF" w14:textId="77777777" w:rsidR="003B31F4" w:rsidRPr="003B31F4" w:rsidRDefault="003B31F4" w:rsidP="003B31F4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p w14:paraId="697F184C" w14:textId="77777777" w:rsidR="003B31F4" w:rsidRPr="003B31F4" w:rsidRDefault="003B31F4" w:rsidP="003B31F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  <w:r w:rsidRPr="003B31F4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</w:rPr>
        <w:t>Ovarian Fibroma</w:t>
      </w:r>
    </w:p>
    <w:p w14:paraId="4BD4197D" w14:textId="77777777" w:rsidR="003B31F4" w:rsidRPr="003B31F4" w:rsidRDefault="003B31F4" w:rsidP="003B31F4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Pure stromal tumors - the most common benign sex cord stromal tumors </w:t>
      </w:r>
    </w:p>
    <w:p w14:paraId="22E2B03F" w14:textId="77777777" w:rsidR="003B31F4" w:rsidRPr="003B31F4" w:rsidRDefault="003B31F4" w:rsidP="003B31F4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Made of fibroblastic spindle cells </w:t>
      </w:r>
    </w:p>
    <w:p w14:paraId="6D902093" w14:textId="77777777" w:rsidR="003B31F4" w:rsidRPr="003B31F4" w:rsidRDefault="003B31F4" w:rsidP="003B31F4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Age 40+ </w:t>
      </w:r>
    </w:p>
    <w:p w14:paraId="4D3E9060" w14:textId="77777777" w:rsidR="003B31F4" w:rsidRPr="003B31F4" w:rsidRDefault="003B31F4" w:rsidP="003B31F4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Ultrasound </w:t>
      </w:r>
      <w:proofErr w:type="gramStart"/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finding:</w:t>
      </w:r>
      <w:proofErr w:type="gramEnd"/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solid and hypoechoic</w:t>
      </w:r>
    </w:p>
    <w:p w14:paraId="74359F25" w14:textId="77777777" w:rsidR="003B31F4" w:rsidRPr="003B31F4" w:rsidRDefault="003B31F4" w:rsidP="003B31F4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CT findings: Homogeneous, solid, and have delayed contrast enhancement with or without calcification</w:t>
      </w:r>
    </w:p>
    <w:p w14:paraId="48273A57" w14:textId="77777777" w:rsidR="003B31F4" w:rsidRPr="003B31F4" w:rsidRDefault="003B31F4" w:rsidP="003B31F4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CT can help exclude other cases of ascites, especially carcinomatosis </w:t>
      </w:r>
    </w:p>
    <w:p w14:paraId="23F5E4AA" w14:textId="77777777" w:rsidR="003B31F4" w:rsidRPr="003B31F4" w:rsidRDefault="003B31F4" w:rsidP="003B31F4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CA 125 will be elevated </w:t>
      </w:r>
    </w:p>
    <w:p w14:paraId="2B52050E" w14:textId="77777777" w:rsidR="003B31F4" w:rsidRPr="003B31F4" w:rsidRDefault="003B31F4" w:rsidP="003B31F4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Treatment: UO/BS; should send frozen section </w:t>
      </w:r>
      <w:proofErr w:type="spellStart"/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intraop</w:t>
      </w:r>
      <w:proofErr w:type="spellEnd"/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 </w:t>
      </w:r>
    </w:p>
    <w:p w14:paraId="0498C5E1" w14:textId="77777777" w:rsidR="003B31F4" w:rsidRPr="003B31F4" w:rsidRDefault="003B31F4" w:rsidP="003B31F4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>Complications</w:t>
      </w:r>
    </w:p>
    <w:p w14:paraId="73EBE967" w14:textId="77777777" w:rsidR="003B31F4" w:rsidRPr="003B31F4" w:rsidRDefault="003B31F4" w:rsidP="003B31F4">
      <w:pPr>
        <w:numPr>
          <w:ilvl w:val="1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3B31F4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</w:rPr>
        <w:t>Meigs syndrome</w:t>
      </w:r>
      <w:r w:rsidRPr="003B31F4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(hydrothorax, ascites, ovarian tumor) </w:t>
      </w:r>
    </w:p>
    <w:p w14:paraId="3C661C1D" w14:textId="77777777" w:rsidR="003B31F4" w:rsidRPr="003B31F4" w:rsidRDefault="003B31F4" w:rsidP="003B31F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</w:rPr>
      </w:pPr>
    </w:p>
    <w:sectPr w:rsidR="003B31F4" w:rsidRPr="003B31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2469"/>
    <w:multiLevelType w:val="multilevel"/>
    <w:tmpl w:val="2796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55B57"/>
    <w:multiLevelType w:val="multilevel"/>
    <w:tmpl w:val="AB3A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B3503"/>
    <w:multiLevelType w:val="multilevel"/>
    <w:tmpl w:val="D538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C6405"/>
    <w:multiLevelType w:val="multilevel"/>
    <w:tmpl w:val="BB4A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944B5"/>
    <w:multiLevelType w:val="multilevel"/>
    <w:tmpl w:val="3F4E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F637B"/>
    <w:multiLevelType w:val="multilevel"/>
    <w:tmpl w:val="6A90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3029B"/>
    <w:multiLevelType w:val="multilevel"/>
    <w:tmpl w:val="4FD4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514051">
    <w:abstractNumId w:val="3"/>
  </w:num>
  <w:num w:numId="2" w16cid:durableId="975110250">
    <w:abstractNumId w:val="4"/>
  </w:num>
  <w:num w:numId="3" w16cid:durableId="945816452">
    <w:abstractNumId w:val="1"/>
  </w:num>
  <w:num w:numId="4" w16cid:durableId="30540865">
    <w:abstractNumId w:val="6"/>
  </w:num>
  <w:num w:numId="5" w16cid:durableId="195897851">
    <w:abstractNumId w:val="0"/>
  </w:num>
  <w:num w:numId="6" w16cid:durableId="1794787616">
    <w:abstractNumId w:val="5"/>
  </w:num>
  <w:num w:numId="7" w16cid:durableId="1582059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1F4"/>
    <w:rsid w:val="00182A24"/>
    <w:rsid w:val="003B31F4"/>
    <w:rsid w:val="00D0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21F110"/>
  <w15:chartTrackingRefBased/>
  <w15:docId w15:val="{3F0800F0-0FA5-4F41-BFFD-DB3FF200A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1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31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836</Words>
  <Characters>4770</Characters>
  <Application>Microsoft Office Word</Application>
  <DocSecurity>0</DocSecurity>
  <Lines>39</Lines>
  <Paragraphs>11</Paragraphs>
  <ScaleCrop>false</ScaleCrop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Tristen Tang</dc:creator>
  <cp:keywords/>
  <dc:description/>
  <cp:lastModifiedBy>Tristen Tang</cp:lastModifiedBy>
  <cp:revision>1</cp:revision>
  <dcterms:created xsi:type="dcterms:W3CDTF">2026-05-10T00:34:00Z</dcterms:created>
  <dcterms:modified xsi:type="dcterms:W3CDTF">2026-05-10T00:35:00Z</dcterms:modified>
</cp:coreProperties>
</file>