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02037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r>
        <w:rPr>
          <w:rFonts w:hint="eastAsia"/>
        </w:rPr>
        <w:t>【列出文当中所用到的专门术语的定义和缩写词的原文。】</w:t>
      </w:r>
    </w:p>
    <w:p w:rsidR="000C394E" w:rsidRDefault="00234F32">
      <w:r>
        <w:rPr>
          <w:rFonts w:hint="eastAsia"/>
        </w:rPr>
        <w:t>按时大声的撒都是爱上啊实打实撒旦阿萨德爱上</w:t>
      </w:r>
    </w:p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745D98" w:rsidRDefault="00745D98" w:rsidP="00745D98">
      <w:pPr>
        <w:rPr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745D98" w:rsidRDefault="00745D98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i) </w:t>
      </w:r>
      <w:r>
        <w:rPr>
          <w:rFonts w:hint="eastAsia"/>
          <w:b/>
          <w:sz w:val="28"/>
          <w:szCs w:val="28"/>
        </w:rPr>
        <w:t>填写商品信息，包括商品名称，商品简介，商品库存，商品单</w:t>
      </w:r>
      <w:r>
        <w:rPr>
          <w:rFonts w:hint="eastAsia"/>
          <w:b/>
          <w:sz w:val="28"/>
          <w:szCs w:val="28"/>
        </w:rPr>
        <w:lastRenderedPageBreak/>
        <w:t>价</w:t>
      </w:r>
      <w:r w:rsidR="00422773">
        <w:rPr>
          <w:rFonts w:hint="eastAsia"/>
          <w:b/>
          <w:sz w:val="28"/>
          <w:szCs w:val="28"/>
        </w:rPr>
        <w:t>，商品产地等。</w:t>
      </w:r>
    </w:p>
    <w:p w:rsid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rFonts w:hint="eastAsia"/>
          <w:b/>
          <w:sz w:val="28"/>
          <w:szCs w:val="28"/>
        </w:rPr>
        <w:t>）上传商品图片（图片先不上传，统一为暂无图片）。</w:t>
      </w:r>
    </w:p>
    <w:p w:rsidR="00422773" w:rsidRP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iii) </w:t>
      </w:r>
      <w:r w:rsidR="00C56157">
        <w:rPr>
          <w:rFonts w:hint="eastAsia"/>
          <w:b/>
          <w:sz w:val="28"/>
          <w:szCs w:val="28"/>
        </w:rPr>
        <w:t>上架按钮，形成商品，可以在首页进行浏览。</w:t>
      </w: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8C0" w:rsidRDefault="003368C0">
      <w:r>
        <w:separator/>
      </w:r>
    </w:p>
  </w:endnote>
  <w:endnote w:type="continuationSeparator" w:id="1">
    <w:p w:rsidR="003368C0" w:rsidRDefault="00336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8C0" w:rsidRDefault="003368C0">
      <w:r>
        <w:separator/>
      </w:r>
    </w:p>
  </w:footnote>
  <w:footnote w:type="continuationSeparator" w:id="1">
    <w:p w:rsidR="003368C0" w:rsidRDefault="003368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0C394E"/>
    <w:rsid w:val="001453C6"/>
    <w:rsid w:val="00234F32"/>
    <w:rsid w:val="00335F0E"/>
    <w:rsid w:val="003368C0"/>
    <w:rsid w:val="003A7804"/>
    <w:rsid w:val="00422773"/>
    <w:rsid w:val="00441E61"/>
    <w:rsid w:val="00502037"/>
    <w:rsid w:val="00603D8A"/>
    <w:rsid w:val="00745D98"/>
    <w:rsid w:val="007746B1"/>
    <w:rsid w:val="00804056"/>
    <w:rsid w:val="00927954"/>
    <w:rsid w:val="0096251B"/>
    <w:rsid w:val="00AE1499"/>
    <w:rsid w:val="00BE7106"/>
    <w:rsid w:val="00C56157"/>
    <w:rsid w:val="00D4330D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fupin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146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2889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9</cp:revision>
  <cp:lastPrinted>2001-02-09T04:16:00Z</cp:lastPrinted>
  <dcterms:created xsi:type="dcterms:W3CDTF">2019-07-11T00:35:00Z</dcterms:created>
  <dcterms:modified xsi:type="dcterms:W3CDTF">2019-07-11T12:19:00Z</dcterms:modified>
</cp:coreProperties>
</file>