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Backup &amp; Restore Guideline</w:t>
      </w:r>
    </w:p>
    <w:p>
      <w:r>
        <w:rPr>
          <w:i/>
          <w:iCs/>
          <w:sz w:val="20"/>
          <w:szCs w:val="20"/>
        </w:rPr>
        <w:t xml:space="preserve">Version 1.0 | Classification: Internal | Owner: Technology Risk</w:t>
      </w:r>
    </w:p>
    <w:p/>
    <w:p>
      <w:pPr>
        <w:pStyle w:val="Heading2"/>
      </w:pPr>
      <w:r>
        <w:rPr>
          <w:b/>
          <w:bCs/>
        </w:rPr>
        <w:t xml:space="preserve">1. Purpose and Scope</w:t>
      </w:r>
    </w:p>
    <w:p>
      <w:r>
        <w:t xml:space="preserve">This guideline defines the minimum requirements for backup configuration and data restoration for all IT systems classified as High or Critical.</w:t>
      </w:r>
    </w:p>
    <w:p/>
    <w:p>
      <w:pPr>
        <w:pStyle w:val="Heading2"/>
      </w:pPr>
      <w:r>
        <w:rPr>
          <w:b/>
          <w:bCs/>
        </w:rPr>
        <w:t xml:space="preserve">2. Definitions</w:t>
      </w:r>
    </w:p>
    <w:p>
      <w:r>
        <w:t xml:space="preserve">Recovery Time Objective (RTO): Maximum acceptable downtime.</w:t>
      </w:r>
    </w:p>
    <w:p>
      <w:r>
        <w:t xml:space="preserve">Recovery Point Objective (RPO): Maximum acceptable data loss period.</w:t>
      </w:r>
    </w:p>
    <w:p/>
    <w:p>
      <w:pPr>
        <w:pStyle w:val="Heading2"/>
      </w:pPr>
      <w:r>
        <w:rPr>
          <w:b/>
          <w:bCs/>
        </w:rPr>
        <w:t xml:space="preserve">3. Backup Requirements</w:t>
      </w:r>
    </w:p>
    <w:p>
      <w:pPr>
        <w:pStyle w:val="Heading3"/>
      </w:pPr>
      <w:r>
        <w:rPr>
          <w:b/>
          <w:bCs/>
        </w:rPr>
        <w:t xml:space="preserve">3.1 Automated Backup Jobs</w:t>
      </w:r>
    </w:p>
    <w:p>
      <w:r>
        <w:t xml:space="preserve">All systems classified High or Critical must have automated daily backup jobs configured.</w:t>
      </w:r>
    </w:p>
    <w:p>
      <w:r>
        <w:t xml:space="preserve">Backup retention period: minimum 30 days for operational data.</w:t>
      </w:r>
    </w:p>
    <w:p/>
    <w:p>
      <w:pPr>
        <w:pStyle w:val="Heading3"/>
      </w:pPr>
      <w:r>
        <w:rPr>
          <w:b/>
          <w:bCs/>
        </w:rPr>
        <w:t xml:space="preserve">3.2 Backup Storage</w:t>
      </w:r>
    </w:p>
    <w:p>
      <w:r>
        <w:t xml:space="preserve">Backup data shall be stored in Azure Blob Storage.</w:t>
      </w:r>
    </w:p>
    <w:p>
      <w:r>
        <w:t xml:space="preserve">Storage configuration: Locally Redundant Storage (LRS).</w:t>
      </w:r>
    </w:p>
    <w:p>
      <w:r>
        <w:t xml:space="preserve">Note: Geographic replication is not currently required under this guideline.</w:t>
      </w:r>
    </w:p>
    <w:p/>
    <w:p>
      <w:pPr>
        <w:pStyle w:val="Heading2"/>
      </w:pPr>
      <w:r>
        <w:rPr>
          <w:b/>
          <w:bCs/>
        </w:rPr>
        <w:t xml:space="preserve">4. Testing Requirements</w:t>
      </w:r>
    </w:p>
    <w:p>
      <w:r>
        <w:t xml:space="preserve">Backup and restoration procedures shall be tested annually.</w:t>
      </w:r>
    </w:p>
    <w:p/>
    <w:p>
      <w:pPr>
        <w:pStyle w:val="Heading2"/>
      </w:pPr>
      <w:r>
        <w:rPr>
          <w:b/>
          <w:bCs/>
        </w:rPr>
        <w:t xml:space="preserve">5. Exception Handling</w:t>
      </w:r>
    </w:p>
    <w:p>
      <w:r>
        <w:t xml:space="preserve">Exceptions to this guideline require approval from the Head of Technology Risk.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2026-08-05T14:36:49.575Z</dcterms:created>
  <dcterms:modified xsi:type="dcterms:W3CDTF">2026-08-05T14:36:49.578Z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