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b w:val="0"/>
        </w:rPr>
        <w:t>Федеральное государственное бюджетное образовательное учреждение высшего образования</w:t>
      </w:r>
    </w:p>
    <w:p>
      <w:pPr>
        <w:spacing w:before="0" w:after="0" w:line="360" w:lineRule="auto"/>
        <w:ind w:firstLine="0"/>
        <w:jc w:val="center"/>
      </w:pPr>
      <w:r>
        <w:rPr>
          <w:b w:val="0"/>
        </w:rPr>
        <w:t>«РОССИЙСКАЯ АКАДЕМИЯ НАРОДНОГО ХОЗЯЙСТВА и</w:t>
      </w:r>
    </w:p>
    <w:p>
      <w:pPr>
        <w:spacing w:before="0" w:after="0" w:line="360" w:lineRule="auto"/>
        <w:ind w:firstLine="0"/>
        <w:jc w:val="center"/>
      </w:pPr>
      <w:r>
        <w:rPr>
          <w:b w:val="0"/>
        </w:rPr>
        <w:t>ГОСУДАРСТВЕННОЙ СЛУЖБЫ</w:t>
      </w:r>
    </w:p>
    <w:p>
      <w:pPr>
        <w:spacing w:before="0" w:after="0" w:line="360" w:lineRule="auto"/>
        <w:ind w:firstLine="0"/>
        <w:jc w:val="center"/>
      </w:pPr>
      <w:r>
        <w:rPr>
          <w:b w:val="0"/>
        </w:rPr>
        <w:t>при Президенте Российской Федерации»</w:t>
      </w:r>
    </w:p>
    <w:p>
      <w:pPr>
        <w:spacing w:before="0" w:after="0" w:line="360" w:lineRule="auto"/>
        <w:ind w:firstLine="0"/>
      </w:pPr>
    </w:p>
    <w:p>
      <w:pPr>
        <w:spacing w:before="0" w:after="0" w:line="360" w:lineRule="auto"/>
        <w:ind w:firstLine="0"/>
        <w:jc w:val="center"/>
      </w:pPr>
      <w:r>
        <w:rPr>
          <w:b w:val="0"/>
        </w:rPr>
        <w:t>КОЛЛЕДЖ МНОГОУРОВНЕВОГО ПРОФЕССИОНАЛЬНОГО ОБРАЗОВАНИЯ</w:t>
      </w:r>
    </w:p>
    <w:p>
      <w:pPr>
        <w:spacing w:before="0" w:after="0" w:line="360" w:lineRule="auto"/>
        <w:ind w:firstLine="0"/>
      </w:pPr>
    </w:p>
    <w:p>
      <w:pPr>
        <w:spacing w:before="0" w:after="0" w:line="360" w:lineRule="auto"/>
        <w:ind w:firstLine="0"/>
        <w:jc w:val="center"/>
      </w:pPr>
      <w:r>
        <w:rPr>
          <w:b w:val="0"/>
        </w:rPr>
        <w:t>Специальность 09.02.07 «Информационные системы и программирование»</w:t>
      </w: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jc w:val="center"/>
      </w:pPr>
      <w:r>
        <w:rPr>
          <w:b/>
        </w:rPr>
        <w:t>КУРСОВАЯ РАБОТА</w:t>
      </w:r>
    </w:p>
    <w:p>
      <w:pPr>
        <w:spacing w:before="0" w:after="0" w:line="360" w:lineRule="auto"/>
        <w:ind w:firstLine="0"/>
      </w:pPr>
    </w:p>
    <w:p>
      <w:pPr>
        <w:spacing w:before="0" w:after="0" w:line="360" w:lineRule="auto"/>
        <w:ind w:firstLine="0"/>
        <w:jc w:val="center"/>
      </w:pPr>
      <w:r>
        <w:rPr>
          <w:b w:val="0"/>
        </w:rPr>
        <w:t>на тему: Расчёт эффективности разработки и внедрения программного продукта</w:t>
      </w: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tbl>
      <w:tblPr>
        <w:tblW w:type="auto" w:w="0"/>
        <w:jc w:val="center"/>
        <w:tblLook w:firstColumn="1" w:firstRow="1" w:lastColumn="0" w:lastRow="0" w:noHBand="0" w:noVBand="1" w:val="04A0"/>
      </w:tblPr>
      <w:tblGrid>
        <w:gridCol w:w="3118"/>
        <w:gridCol w:w="3118"/>
        <w:gridCol w:w="3118"/>
      </w:tblGrid>
      <w:tr>
        <w:tc>
          <w:tcPr>
            <w:tcW w:type="dxa" w:w="3969"/>
          </w:tcPr>
          <w:p>
            <w:pPr>
              <w:spacing w:before="0" w:after="0" w:line="240" w:lineRule="auto"/>
              <w:ind w:firstLine="0"/>
            </w:pPr>
            <w:r>
              <w:rPr>
                <w:rFonts w:ascii="Times New Roman" w:hAnsi="Times New Roman"/>
                <w:sz w:val="28"/>
              </w:rPr>
              <w:t>Выполнил(а) студент(ка) группы ____________</w:t>
            </w:r>
          </w:p>
        </w:tc>
        <w:tc>
          <w:tcPr>
            <w:tcW w:type="dxa" w:w="2551"/>
          </w:tcPr>
          <w:p>
            <w:pPr>
              <w:spacing w:before="0" w:after="0" w:line="240" w:lineRule="auto"/>
              <w:ind w:firstLine="0"/>
            </w:pPr>
            <w:r>
              <w:rPr>
                <w:rFonts w:ascii="Times New Roman" w:hAnsi="Times New Roman"/>
                <w:sz w:val="28"/>
              </w:rPr>
              <w:t>___________________</w:t>
            </w:r>
          </w:p>
        </w:tc>
        <w:tc>
          <w:tcPr>
            <w:tcW w:type="dxa" w:w="2835"/>
          </w:tcPr>
          <w:p>
            <w:pPr>
              <w:spacing w:before="0" w:after="0" w:line="240" w:lineRule="auto"/>
              <w:ind w:firstLine="0"/>
            </w:pPr>
            <w:r>
              <w:rPr>
                <w:rFonts w:ascii="Times New Roman" w:hAnsi="Times New Roman"/>
                <w:sz w:val="28"/>
              </w:rPr>
              <w:t>____________________</w:t>
            </w:r>
          </w:p>
        </w:tc>
      </w:tr>
      <w:tr>
        <w:tc>
          <w:tcPr>
            <w:tcW w:type="dxa" w:w="3969"/>
          </w:tcPr>
          <w:p>
            <w:pPr>
              <w:spacing w:before="0" w:after="0" w:line="240" w:lineRule="auto"/>
              <w:ind w:firstLine="0"/>
            </w:pPr>
            <w:r>
              <w:rPr>
                <w:rFonts w:ascii="Times New Roman" w:hAnsi="Times New Roman"/>
                <w:sz w:val="28"/>
              </w:rPr>
            </w:r>
          </w:p>
        </w:tc>
        <w:tc>
          <w:tcPr>
            <w:tcW w:type="dxa" w:w="2551"/>
          </w:tcPr>
          <w:p>
            <w:pPr>
              <w:spacing w:before="0" w:after="0" w:line="240" w:lineRule="auto"/>
              <w:ind w:firstLine="0"/>
            </w:pPr>
            <w:r>
              <w:rPr>
                <w:rFonts w:ascii="Times New Roman" w:hAnsi="Times New Roman"/>
                <w:sz w:val="28"/>
              </w:rPr>
            </w:r>
          </w:p>
        </w:tc>
        <w:tc>
          <w:tcPr>
            <w:tcW w:type="dxa" w:w="2835"/>
          </w:tcPr>
          <w:p>
            <w:pPr>
              <w:spacing w:before="0" w:after="0" w:line="240" w:lineRule="auto"/>
              <w:ind w:firstLine="0"/>
            </w:pPr>
            <w:r>
              <w:rPr>
                <w:rFonts w:ascii="Times New Roman" w:hAnsi="Times New Roman"/>
                <w:sz w:val="28"/>
              </w:rPr>
            </w:r>
          </w:p>
        </w:tc>
      </w:tr>
      <w:tr>
        <w:tc>
          <w:tcPr>
            <w:tcW w:type="dxa" w:w="3969"/>
          </w:tcPr>
          <w:p>
            <w:pPr>
              <w:spacing w:before="0" w:after="0" w:line="240" w:lineRule="auto"/>
              <w:ind w:firstLine="0"/>
            </w:pPr>
            <w:r>
              <w:rPr>
                <w:rFonts w:ascii="Times New Roman" w:hAnsi="Times New Roman"/>
                <w:sz w:val="28"/>
              </w:rPr>
              <w:t>Руководитель</w:t>
            </w:r>
          </w:p>
        </w:tc>
        <w:tc>
          <w:tcPr>
            <w:tcW w:type="dxa" w:w="2551"/>
          </w:tcPr>
          <w:p>
            <w:pPr>
              <w:spacing w:before="0" w:after="0" w:line="240" w:lineRule="auto"/>
              <w:ind w:firstLine="0"/>
            </w:pPr>
            <w:r>
              <w:rPr>
                <w:rFonts w:ascii="Times New Roman" w:hAnsi="Times New Roman"/>
                <w:sz w:val="28"/>
              </w:rPr>
              <w:t>___________________</w:t>
            </w:r>
          </w:p>
        </w:tc>
        <w:tc>
          <w:tcPr>
            <w:tcW w:type="dxa" w:w="2835"/>
          </w:tcPr>
          <w:p>
            <w:pPr>
              <w:spacing w:before="0" w:after="0" w:line="240" w:lineRule="auto"/>
              <w:ind w:firstLine="0"/>
            </w:pPr>
            <w:r>
              <w:rPr>
                <w:rFonts w:ascii="Times New Roman" w:hAnsi="Times New Roman"/>
                <w:sz w:val="28"/>
              </w:rPr>
              <w:t>____________________</w:t>
            </w:r>
          </w:p>
        </w:tc>
      </w:tr>
    </w:tbl>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jc w:val="center"/>
      </w:pPr>
      <w:r>
        <w:rPr>
          <w:b w:val="0"/>
        </w:rPr>
        <w:t>МОСКВА</w:t>
      </w:r>
    </w:p>
    <w:p>
      <w:pPr>
        <w:spacing w:before="0" w:after="0" w:line="360" w:lineRule="auto"/>
        <w:ind w:firstLine="0"/>
        <w:jc w:val="center"/>
      </w:pPr>
      <w:r>
        <w:rPr>
          <w:b w:val="0"/>
        </w:rPr>
        <w:t>2026 г.</w:t>
      </w:r>
    </w:p>
    <w:p>
      <w:pPr>
        <w:spacing w:before="0" w:after="0" w:line="360" w:lineRule="auto"/>
        <w:ind w:firstLine="0"/>
      </w:pPr>
      <w:r>
        <w:br w:type="page"/>
      </w:r>
    </w:p>
    <w:p>
      <w:pPr>
        <w:spacing w:before="0" w:after="0" w:line="240" w:lineRule="auto"/>
        <w:ind w:firstLine="0"/>
        <w:jc w:val="right"/>
      </w:pPr>
      <w:r>
        <w:rPr>
          <w:b w:val="0"/>
        </w:rPr>
        <w:t>Руководителю курсовой работы,</w:t>
      </w:r>
    </w:p>
    <w:p>
      <w:pPr>
        <w:spacing w:before="0" w:after="0" w:line="240" w:lineRule="auto"/>
        <w:ind w:firstLine="0"/>
        <w:jc w:val="right"/>
      </w:pPr>
      <w:r>
        <w:rPr>
          <w:b w:val="0"/>
        </w:rPr>
        <w:t>преподавателю ______________________</w:t>
      </w:r>
    </w:p>
    <w:p>
      <w:pPr>
        <w:spacing w:before="0" w:after="0" w:line="240" w:lineRule="auto"/>
        <w:ind w:firstLine="0"/>
        <w:jc w:val="right"/>
      </w:pPr>
      <w:r>
        <w:rPr>
          <w:b w:val="0"/>
        </w:rPr>
        <w:t>студента(ки) 4 курса, группы ____________</w:t>
      </w:r>
    </w:p>
    <w:p>
      <w:pPr>
        <w:spacing w:before="0" w:after="0" w:line="240" w:lineRule="auto"/>
        <w:ind w:firstLine="0"/>
        <w:jc w:val="right"/>
      </w:pPr>
      <w:r>
        <w:rPr>
          <w:b w:val="0"/>
        </w:rPr>
        <w:t>_________________________________________</w:t>
      </w:r>
    </w:p>
    <w:p>
      <w:pPr>
        <w:spacing w:before="0" w:after="0" w:line="360" w:lineRule="auto"/>
        <w:ind w:firstLine="0"/>
      </w:pPr>
    </w:p>
    <w:p>
      <w:pPr>
        <w:spacing w:before="0" w:after="0" w:line="360" w:lineRule="auto"/>
        <w:ind w:firstLine="0"/>
      </w:pPr>
    </w:p>
    <w:p>
      <w:pPr>
        <w:spacing w:before="0" w:after="0" w:line="360" w:lineRule="auto"/>
        <w:ind w:firstLine="0"/>
        <w:jc w:val="center"/>
      </w:pPr>
      <w:r>
        <w:rPr>
          <w:b/>
        </w:rPr>
        <w:t>ЗАЯВЛЕНИЕ</w:t>
      </w:r>
    </w:p>
    <w:p>
      <w:pPr>
        <w:spacing w:before="0" w:after="0" w:line="360" w:lineRule="auto"/>
        <w:ind w:firstLine="0"/>
      </w:pPr>
    </w:p>
    <w:p>
      <w:pPr>
        <w:spacing w:before="0" w:after="0" w:line="360" w:lineRule="auto"/>
        <w:ind w:firstLine="709"/>
        <w:jc w:val="both"/>
      </w:pPr>
      <w:r>
        <w:rPr>
          <w:b w:val="0"/>
        </w:rPr>
        <w:t>Прошу утвердить тему курсовой работы по ОП.07 Экономика отрасли «Расчёт эффективности разработки и внедрения программного продукта» и её план:</w:t>
      </w:r>
    </w:p>
    <w:p>
      <w:pPr>
        <w:spacing w:before="0" w:after="0" w:line="360" w:lineRule="auto"/>
        <w:ind w:firstLine="0"/>
      </w:pPr>
    </w:p>
    <w:p>
      <w:pPr>
        <w:spacing w:before="0" w:after="0" w:line="360" w:lineRule="auto"/>
        <w:ind w:firstLine="0"/>
        <w:jc w:val="both"/>
      </w:pPr>
      <w:r>
        <w:rPr>
          <w:b w:val="0"/>
        </w:rPr>
        <w:t>ВВЕДЕНИЕ</w:t>
      </w:r>
    </w:p>
    <w:p>
      <w:pPr>
        <w:spacing w:before="0" w:after="0" w:line="360" w:lineRule="auto"/>
        <w:ind w:firstLine="0"/>
        <w:jc w:val="both"/>
      </w:pPr>
      <w:r>
        <w:rPr>
          <w:b w:val="0"/>
        </w:rPr>
        <w:t>1 ТЕОРЕТИЧЕСКИЕ ОСНОВЫ РАЗРАБОТКИ ПРОГРАММНЫХ ПРОДУКТОВ ДЛЯ МОНИТОРИНГА РЫНКА ЖИЛОЙ НЕДВИЖИМОСТИ</w:t>
      </w:r>
    </w:p>
    <w:p>
      <w:pPr>
        <w:spacing w:before="0" w:after="0" w:line="360" w:lineRule="auto"/>
        <w:ind w:firstLine="0"/>
        <w:jc w:val="both"/>
      </w:pPr>
      <w:r>
        <w:rPr>
          <w:b w:val="0"/>
        </w:rPr>
        <w:t>1.1 Понятие, сущность и классификация программных продуктов для мониторинга рынка жилой недвижимости</w:t>
      </w:r>
    </w:p>
    <w:p>
      <w:pPr>
        <w:spacing w:before="0" w:after="0" w:line="360" w:lineRule="auto"/>
        <w:ind w:firstLine="0"/>
        <w:jc w:val="both"/>
      </w:pPr>
      <w:r>
        <w:rPr>
          <w:b w:val="0"/>
        </w:rPr>
        <w:t>1.2 Нормативно-правовое регулирование разработки программных продуктов для государственного заказчика в России</w:t>
      </w:r>
    </w:p>
    <w:p>
      <w:pPr>
        <w:spacing w:before="0" w:after="0" w:line="360" w:lineRule="auto"/>
        <w:ind w:firstLine="0"/>
        <w:jc w:val="both"/>
      </w:pPr>
      <w:r>
        <w:rPr>
          <w:b w:val="0"/>
        </w:rPr>
        <w:t>1.3 Анализ современных российских и западных программных продуктов мониторинга рынка недвижимости</w:t>
      </w:r>
    </w:p>
    <w:p>
      <w:pPr>
        <w:spacing w:before="0" w:after="0" w:line="360" w:lineRule="auto"/>
        <w:ind w:firstLine="0"/>
        <w:jc w:val="both"/>
      </w:pPr>
      <w:r>
        <w:rPr>
          <w:b w:val="0"/>
        </w:rPr>
        <w:t>2 ОЦЕНКА ЭФФЕКТИВНОСТИ РАЗРАБОТКИ И ВНЕДРЕНИЯ ПРОГРАММНОГО ПРОДУКТА «MOSRES»</w:t>
      </w:r>
    </w:p>
    <w:p>
      <w:pPr>
        <w:spacing w:before="0" w:after="0" w:line="360" w:lineRule="auto"/>
        <w:ind w:firstLine="0"/>
        <w:jc w:val="both"/>
      </w:pPr>
      <w:r>
        <w:rPr>
          <w:b w:val="0"/>
        </w:rPr>
        <w:t>2.1 Основные характеристики разрабатываемого программного продукта «mosres»</w:t>
      </w:r>
    </w:p>
    <w:p>
      <w:pPr>
        <w:spacing w:before="0" w:after="0" w:line="360" w:lineRule="auto"/>
        <w:ind w:firstLine="0"/>
        <w:jc w:val="both"/>
      </w:pPr>
      <w:r>
        <w:rPr>
          <w:b w:val="0"/>
        </w:rPr>
        <w:t>2.2 Расчёт экономических показателей разработки программного продукта</w:t>
      </w:r>
    </w:p>
    <w:p>
      <w:pPr>
        <w:spacing w:before="0" w:after="0" w:line="360" w:lineRule="auto"/>
        <w:ind w:firstLine="0"/>
        <w:jc w:val="both"/>
      </w:pPr>
      <w:r>
        <w:rPr>
          <w:b w:val="0"/>
        </w:rPr>
        <w:t>2.3 Анализ эффективности внедрения программного продукта</w:t>
      </w:r>
    </w:p>
    <w:p>
      <w:pPr>
        <w:spacing w:before="0" w:after="0" w:line="360" w:lineRule="auto"/>
        <w:ind w:firstLine="0"/>
        <w:jc w:val="both"/>
      </w:pPr>
      <w:r>
        <w:rPr>
          <w:b w:val="0"/>
        </w:rPr>
        <w:t>ЗАКЛЮЧЕНИЕ</w:t>
      </w:r>
    </w:p>
    <w:p>
      <w:pPr>
        <w:spacing w:before="0" w:after="0" w:line="360" w:lineRule="auto"/>
        <w:ind w:firstLine="0"/>
        <w:jc w:val="both"/>
      </w:pPr>
      <w:r>
        <w:rPr>
          <w:b w:val="0"/>
        </w:rPr>
        <w:t>СПИСОК ИСПОЛЬЗОВАННЫХ ИСТОЧНИКОВ</w:t>
      </w:r>
    </w:p>
    <w:p>
      <w:pPr>
        <w:spacing w:before="0" w:after="0" w:line="360" w:lineRule="auto"/>
        <w:ind w:firstLine="0"/>
      </w:pPr>
    </w:p>
    <w:p>
      <w:pPr>
        <w:spacing w:before="0" w:after="0" w:line="360" w:lineRule="auto"/>
        <w:ind w:firstLine="0"/>
      </w:pPr>
    </w:p>
    <w:p>
      <w:pPr>
        <w:spacing w:before="0" w:after="0" w:line="360" w:lineRule="auto"/>
        <w:ind w:firstLine="0"/>
      </w:pPr>
    </w:p>
    <w:p>
      <w:pPr>
        <w:spacing w:before="0" w:after="0" w:line="360" w:lineRule="auto"/>
        <w:ind w:firstLine="0"/>
        <w:jc w:val="both"/>
      </w:pPr>
      <w:r>
        <w:rPr>
          <w:b w:val="0"/>
        </w:rPr>
        <w:t>Дата ____________                                        Подпись ____________</w:t>
      </w:r>
    </w:p>
    <w:p>
      <w:pPr>
        <w:spacing w:before="0" w:after="0" w:line="360" w:lineRule="auto"/>
        <w:ind w:firstLine="0"/>
      </w:pPr>
      <w:r>
        <w:br w:type="page"/>
      </w:r>
    </w:p>
    <w:p>
      <w:pPr>
        <w:pStyle w:val="Heading1"/>
        <w:spacing w:before="0" w:after="0" w:line="360" w:lineRule="auto"/>
        <w:ind w:firstLine="0"/>
        <w:jc w:val="center"/>
      </w:pPr>
      <w:r>
        <w:rPr>
          <w:b/>
        </w:rPr>
        <w:t>СОДЕРЖАНИЕ</w:t>
      </w:r>
    </w:p>
    <w:p>
      <w:pPr>
        <w:spacing w:before="0" w:after="0" w:line="360" w:lineRule="auto"/>
        <w:ind w:firstLine="0"/>
      </w:pPr>
    </w:p>
    <w:p>
      <w:pPr>
        <w:spacing w:before="0" w:after="0" w:line="360" w:lineRule="auto"/>
        <w:ind w:firstLine="0"/>
      </w:pPr>
      <w:r>
        <w:fldChar w:fldCharType="begin"/>
        <w:instrText xml:space="preserve">TOC \o "1-2" \h \z \u</w:instrText>
        <w:fldChar w:fldCharType="separate"/>
        <w:fldChar w:fldCharType="end"/>
      </w:r>
    </w:p>
    <w:p>
      <w:pPr>
        <w:spacing w:before="0" w:after="0" w:line="360" w:lineRule="auto"/>
        <w:ind w:firstLine="0"/>
      </w:pPr>
      <w:r>
        <w:br w:type="page"/>
      </w:r>
    </w:p>
    <w:p>
      <w:pPr>
        <w:pStyle w:val="Heading1"/>
        <w:spacing w:before="0" w:after="0" w:line="360" w:lineRule="auto"/>
        <w:ind w:firstLine="0"/>
        <w:jc w:val="center"/>
      </w:pPr>
      <w:r>
        <w:rPr>
          <w:b/>
        </w:rPr>
        <w:t>ВВЕДЕНИЕ</w:t>
      </w:r>
    </w:p>
    <w:p>
      <w:pPr>
        <w:spacing w:before="0" w:after="0" w:line="360" w:lineRule="auto"/>
        <w:ind w:firstLine="0"/>
      </w:pPr>
    </w:p>
    <w:p>
      <w:pPr>
        <w:spacing w:before="0" w:after="0" w:line="360" w:lineRule="auto"/>
        <w:ind w:firstLine="709"/>
        <w:jc w:val="both"/>
      </w:pPr>
      <w:r>
        <w:rPr>
          <w:b w:val="0"/>
        </w:rPr>
        <w:t>Программа реновации жилищного фонда города Москвы, утверждённая постановлением Правительства Москвы от 01.08.2017 № 497-ПП, является крупнейшим в стране проектом расселения устаревшего жилого фонда: в неё включено более пяти тысяч домов, срок реализации определён до 2032 года [10]. Помимо квартир, передаваемых участникам программы, город реализует на открытом рынке квартиры, остающиеся в построенных корпусах. Продавцом в этом случае выступает Департамент городского имущества города Москвы (далее — ДГИ), действующий на основании постановления Правительства Москвы от 20.02.2013 № 99-ПП [11]; продажи ведутся через официальный портал «Москварталы» [16], а часть лотов выставляется на аукционы инвестиционного портала города Москвы [17].</w:t>
      </w:r>
    </w:p>
    <w:p>
      <w:pPr>
        <w:spacing w:before="0" w:after="0" w:line="360" w:lineRule="auto"/>
        <w:ind w:firstLine="709"/>
        <w:jc w:val="both"/>
      </w:pPr>
      <w:r>
        <w:rPr>
          <w:b w:val="0"/>
        </w:rPr>
        <w:t>Предложение, формируемое городом, велико и подвижно. По состоянию на 27.09.2026 в продаже находилось 1 715 квартир в 56 корпусах общей стоимостью 37,2 млрд руб.; средняя цена квартиры составляла 21,7 млн руб., средняя цена квадратного метра — 345,7 тыс. руб. При этом 310 лотов (18,1 %) продавались со скидкой, а 122 лота (7,1 %) были переведены в резерв. Цены, скидки и состав предложения меняются ежедневно, однако ни портал продаж, ни наборы открытых данных не сохраняют историю изменений по конкретному лоту: вчерашняя цена, размер снятой скидки, дата постановки квартиры в резерв нигде не фиксируются. В результате сотрудники, отвечающие за реализацию жилья, вынуждены вести ручные выгрузки в электронные таблицы, а решения о корректировке цен и скидок принимаются без ретроспективы и без сопоставимой аналитики по корпусам, округам и станциям метро.</w:t>
      </w:r>
    </w:p>
    <w:p>
      <w:pPr>
        <w:spacing w:before="0" w:after="0" w:line="360" w:lineRule="auto"/>
        <w:ind w:firstLine="709"/>
        <w:jc w:val="both"/>
      </w:pPr>
      <w:r>
        <w:rPr>
          <w:b w:val="0"/>
        </w:rPr>
        <w:t>Актуальность темы курсовой работы обусловлена необходимостью автоматизации этого процесса. Практика цифровизации государственного управления показывает, что ведомственные аналитические системы дают измеримый экономический эффект уже на горизонте одного года: они сокращают трудозатраты на сбор и сверку данных, повышают качество решений о ценообразовании и снимают потребность в покупке сторонней коммерческой аналитики [18, 19]. Одновременно продукт создаётся в строгих рамках: закупка выполняется по Федеральному закону от 05.04.2013 № 44-ФЗ, стек ограничен требованиями постановления Правительства Российской Федерации от 16.11.2015 № 1236 о запрете допуска иностранного программного обеспечения, а состав работ подчинён стадиям создания автоматизированных систем по ГОСТ 34.601-90 [3, 8, 12]. Это делает экономическое обоснование проекта не формальным приложением, а обязательным условием его запуска.</w:t>
      </w:r>
    </w:p>
    <w:p>
      <w:pPr>
        <w:spacing w:before="0" w:after="0" w:line="360" w:lineRule="auto"/>
        <w:ind w:firstLine="709"/>
        <w:jc w:val="both"/>
      </w:pPr>
      <w:r>
        <w:rPr>
          <w:b w:val="0"/>
        </w:rPr>
        <w:t>Объектом исследования является процесс разработки и внедрения программного продукта для государственного заказчика. Предметом исследования выступают экономические показатели эффективности разработки и внедрения информационной системы мониторинга и анализа предложения квартир программы реновации.</w:t>
      </w:r>
    </w:p>
    <w:p>
      <w:pPr>
        <w:spacing w:before="0" w:after="0" w:line="360" w:lineRule="auto"/>
        <w:ind w:firstLine="709"/>
        <w:jc w:val="both"/>
      </w:pPr>
      <w:r>
        <w:rPr>
          <w:b w:val="0"/>
        </w:rPr>
        <w:t>Целью курсовой работы является расчёт экономической эффективности разработки и внедрения программного продукта «mosres» — системы автоматизированного сбора, версионного хранения и анализа данных о квартирах программы реновации города Москвы, внедряемой в контуре Департамента городского имущества города Москвы.</w:t>
      </w:r>
    </w:p>
    <w:p>
      <w:pPr>
        <w:spacing w:before="0" w:after="0" w:line="360" w:lineRule="auto"/>
        <w:ind w:firstLine="709"/>
        <w:jc w:val="both"/>
      </w:pPr>
      <w:r>
        <w:rPr>
          <w:b w:val="0"/>
        </w:rPr>
        <w:t>Для достижения поставленной цели необходимо решить следующие задачи:</w:t>
      </w:r>
    </w:p>
    <w:p>
      <w:pPr>
        <w:spacing w:before="0" w:after="0" w:line="360" w:lineRule="auto"/>
        <w:ind w:firstLine="709"/>
        <w:jc w:val="both"/>
      </w:pPr>
      <w:r>
        <w:rPr>
          <w:b w:val="0"/>
        </w:rPr>
        <w:t>1) раскрыть понятие, сущность и классификацию программных продуктов для мониторинга рынка жилой недвижимости и выявить экономические особенности продуктов, создаваемых для государственного заказчика;</w:t>
      </w:r>
    </w:p>
    <w:p>
      <w:pPr>
        <w:spacing w:before="0" w:after="0" w:line="360" w:lineRule="auto"/>
        <w:ind w:firstLine="709"/>
        <w:jc w:val="both"/>
      </w:pPr>
      <w:r>
        <w:rPr>
          <w:b w:val="0"/>
        </w:rPr>
        <w:t>2) определить нормативно-правовые требования, влияющие на состав работ, выбор технологического стека и структуру затрат проекта;</w:t>
      </w:r>
    </w:p>
    <w:p>
      <w:pPr>
        <w:spacing w:before="0" w:after="0" w:line="360" w:lineRule="auto"/>
        <w:ind w:firstLine="709"/>
        <w:jc w:val="both"/>
      </w:pPr>
      <w:r>
        <w:rPr>
          <w:b w:val="0"/>
        </w:rPr>
        <w:t>3) провести сравнительный анализ российских и западных программных продуктов мониторинга рынка недвижимости и обосновать функциональную нишу разрабатываемого продукта;</w:t>
      </w:r>
    </w:p>
    <w:p>
      <w:pPr>
        <w:spacing w:before="0" w:after="0" w:line="360" w:lineRule="auto"/>
        <w:ind w:firstLine="709"/>
        <w:jc w:val="both"/>
      </w:pPr>
      <w:r>
        <w:rPr>
          <w:b w:val="0"/>
        </w:rPr>
        <w:t>4) описать основные характеристики продукта «mosres»: решаемую проблему, цели по критериям SMART, целевые сегменты пользователей, состав минимально жизнеспособной версии и оценку трудоёмкости разработки;</w:t>
      </w:r>
    </w:p>
    <w:p>
      <w:pPr>
        <w:spacing w:before="0" w:after="0" w:line="360" w:lineRule="auto"/>
        <w:ind w:firstLine="709"/>
        <w:jc w:val="both"/>
      </w:pPr>
      <w:r>
        <w:rPr>
          <w:b w:val="0"/>
        </w:rPr>
        <w:t>5) рассчитать капитальные (CAPEX) и операционные (OPEX) затраты проекта и дать денежную оценку годовых выгод от внедрения;</w:t>
      </w:r>
    </w:p>
    <w:p>
      <w:pPr>
        <w:spacing w:before="0" w:after="0" w:line="360" w:lineRule="auto"/>
        <w:ind w:firstLine="709"/>
        <w:jc w:val="both"/>
      </w:pPr>
      <w:r>
        <w:rPr>
          <w:b w:val="0"/>
        </w:rPr>
        <w:t>6) оценить эффективность внедрения по показателям точки безубыточности, простого срока окупаемости и рентабельности инвестиций, проверить устойчивость результата методом сценарного анализа и сформулировать практические рекомендации.</w:t>
      </w:r>
    </w:p>
    <w:p>
      <w:pPr>
        <w:spacing w:before="0" w:after="0" w:line="360" w:lineRule="auto"/>
        <w:ind w:firstLine="709"/>
        <w:jc w:val="both"/>
      </w:pPr>
      <w:r>
        <w:rPr>
          <w:b w:val="0"/>
        </w:rPr>
        <w:t>Методологическую основу работы составили: анализ нормативно-правовых актов, сравнительный анализ программных продуктов-аналогов, методы экономической оценки инвестиционных проектов (расчёт капитальных и операционных затрат, точки безубыточности, простого срока окупаемости, рентабельности инвестиций), а также сценарный анализ чувствительности результата к ключевому допущению.</w:t>
      </w:r>
    </w:p>
    <w:p>
      <w:pPr>
        <w:spacing w:before="0" w:after="0" w:line="360" w:lineRule="auto"/>
        <w:ind w:firstLine="709"/>
        <w:jc w:val="both"/>
      </w:pPr>
      <w:r>
        <w:rPr>
          <w:b w:val="0"/>
        </w:rPr>
        <w:t>Информационную базу работы составили нормативные правовые акты Российской Федерации и города Москвы, национальные стандарты, данные официальных порталов продаж городского имущества, открытые сведения о продуктах-аналогах, а также фактические данные самого проекта: структура репозитория, объём исходного кода и срез предложения квартир на 27.09.2026.</w:t>
      </w:r>
    </w:p>
    <w:p>
      <w:pPr>
        <w:spacing w:before="0" w:after="0" w:line="360" w:lineRule="auto"/>
        <w:ind w:firstLine="709"/>
        <w:jc w:val="both"/>
      </w:pPr>
      <w:r>
        <w:rPr>
          <w:b w:val="0"/>
        </w:rPr>
        <w:t>Практическая значимость работы состоит в том, что полученные расчёты могут быть использованы как экономическое обоснование закупки разработки и сопровождения системы, а также в качестве экономической части дипломного проекта, посвящённого разработке информационной системы мониторинга предложения жилой недвижимости программы реновации.</w:t>
      </w:r>
    </w:p>
    <w:p>
      <w:pPr>
        <w:spacing w:before="0" w:after="0" w:line="360" w:lineRule="auto"/>
        <w:ind w:firstLine="0"/>
      </w:pPr>
      <w:r>
        <w:br w:type="page"/>
      </w:r>
    </w:p>
    <w:p>
      <w:pPr>
        <w:pStyle w:val="Heading1"/>
        <w:spacing w:before="0" w:after="0" w:line="360" w:lineRule="auto"/>
        <w:ind w:firstLine="0"/>
        <w:jc w:val="center"/>
      </w:pPr>
      <w:r>
        <w:rPr>
          <w:b/>
        </w:rPr>
        <w:t>1 ТЕОРЕТИЧЕСКИЕ ОСНОВЫ РАЗРАБОТКИ ПРОГРАММНЫХ ПРОДУКТОВ ДЛЯ МОНИТОРИНГА РЫНКА ЖИЛОЙ НЕДВИЖИМОСТИ</w:t>
      </w:r>
    </w:p>
    <w:p>
      <w:pPr>
        <w:spacing w:before="0" w:after="0" w:line="360" w:lineRule="auto"/>
        <w:ind w:firstLine="0"/>
      </w:pPr>
    </w:p>
    <w:p>
      <w:pPr>
        <w:pStyle w:val="Heading2"/>
        <w:spacing w:before="0" w:after="0" w:line="360" w:lineRule="auto"/>
        <w:ind w:firstLine="709"/>
        <w:jc w:val="left"/>
      </w:pPr>
      <w:r>
        <w:rPr>
          <w:b/>
        </w:rPr>
        <w:t>1.1 Понятие, сущность и классификация программных продуктов для мониторинга рынка жилой недвижимости</w:t>
      </w:r>
    </w:p>
    <w:p>
      <w:pPr>
        <w:spacing w:before="0" w:after="0" w:line="360" w:lineRule="auto"/>
        <w:ind w:firstLine="709"/>
        <w:jc w:val="both"/>
      </w:pPr>
      <w:r>
        <w:rPr>
          <w:b w:val="0"/>
        </w:rPr>
        <w:t>С юридической точки зрения программой для ЭВМ признаётся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определённого результата, включая подготовительные материалы и порождаемые аудиовизуальные отображения (статья 1261 Гражданского кодекса Российской Федерации) [1]. В экономическом смысле программным продуктом называют комплекс взаимосвязанных программ, доведённый до состояния товара: снабжённый документацией, прошедший испытания, пригодный для тиражирования и передачи пользователю, не участвовавшему в его создании [27]. Ключевое отличие программного продукта от программы как результата творческого труда — наличие потребительской стоимости и способность приносить владельцу экономический эффект.</w:t>
      </w:r>
    </w:p>
    <w:p>
      <w:pPr>
        <w:spacing w:before="0" w:after="0" w:line="360" w:lineRule="auto"/>
        <w:ind w:firstLine="709"/>
        <w:jc w:val="both"/>
      </w:pPr>
      <w:r>
        <w:rPr>
          <w:b w:val="0"/>
        </w:rPr>
        <w:t>Сущность программного продукта как экономического объекта раскрывается через структуру его затрат. Создание продукта требует значительных единовременных вложений, основную часть которых составляет оплата труда квалифицированных специалистов, тогда как предельные издержки тиражирования уже созданного продукта близки к нулю. Отсюда три вывода, важных для дальнейших расчётов: эффективность проекта определяется прежде всего точностью оценки трудоёмкости, поскольку ошибка в оценке часов напрямую переносится в капитальные затраты; продукт обладает выраженной экономией на масштабе, так как каждый новый пользователь увеличивает эффект, почти не увеличивая затрат; продукт быстро морально устаревает, поэтому расчёт обязательно включает ежегодные затраты на поддержку и развитие, без которых эффект исчезает в течение одного-двух лет [28].</w:t>
      </w:r>
    </w:p>
    <w:p>
      <w:pPr>
        <w:spacing w:before="0" w:after="0" w:line="360" w:lineRule="auto"/>
        <w:ind w:firstLine="709"/>
        <w:jc w:val="both"/>
      </w:pPr>
      <w:r>
        <w:rPr>
          <w:b w:val="0"/>
        </w:rPr>
        <w:t>Программные продукты для рынка недвижимости прошли несколько этапов развития. В 1960–1980-е годы в США появились системы множественного листинга (MLS) — закрытые базы объектов, доступные членам ассоциаций риелторов; в 1990-е годы листинги переносятся в интернет в форме публичных классифайдов; в 2000-е наступает эпоха оценочных сервисов — в 2006 году платформа Zillow запустила алгоритм автоматической оценки стоимости жилья Zestimate, сделав массовую автоматизированную оценку (AVM) рыночным стандартом [24]. В 2010-е годы происходит переход от объявлений к данным: платформы начинают продавать не доступ к объектам, а аналитику по динамике цен и срокам экспозиции [25]. Современный этап определяется применением методов машинного обучения для прогнозирования цен и цифровизацией государственного управления в сфере жилья — в России это единая информационная система жилищного строительства «Наш.Дом.РФ» [18] и ведомственные системы учёта и реализации городского имущества, создаваемые в развитие требований законодательства о доступе к информации о деятельности государственных органов [6].</w:t>
      </w:r>
    </w:p>
    <w:p>
      <w:pPr>
        <w:spacing w:before="0" w:after="0" w:line="360" w:lineRule="auto"/>
        <w:ind w:firstLine="709"/>
        <w:jc w:val="both"/>
      </w:pPr>
      <w:r>
        <w:rPr>
          <w:b w:val="0"/>
        </w:rPr>
        <w:t>Многообразие решений, представленных на рынке, требует систематизации. Классификация программных продуктов для мониторинга рынка жилой недвижимости по основным признакам приведена в таблице 1.1.</w:t>
      </w:r>
    </w:p>
    <w:p>
      <w:pPr>
        <w:spacing w:before="120" w:after="0" w:line="240" w:lineRule="auto"/>
        <w:ind w:firstLine="0"/>
        <w:jc w:val="left"/>
      </w:pPr>
      <w:r>
        <w:rPr>
          <w:b w:val="0"/>
        </w:rPr>
        <w:t>Таблица 1.1 – Классификация программных продуктов для мониторинга рынка жилой недвижимости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737"/>
          </w:tcPr>
          <w:p>
            <w:pPr>
              <w:spacing w:before="0" w:after="0" w:line="240" w:lineRule="auto"/>
              <w:ind w:firstLine="0"/>
              <w:jc w:val="center"/>
            </w:pPr>
            <w:r/>
            <w:r>
              <w:rPr>
                <w:rFonts w:ascii="Times New Roman" w:hAnsi="Times New Roman"/>
                <w:b/>
                <w:sz w:val="24"/>
              </w:rPr>
              <w:t>№ п/п</w:t>
            </w:r>
          </w:p>
        </w:tc>
        <w:tc>
          <w:tcPr>
            <w:tcW w:type="dxa" w:w="2041"/>
          </w:tcPr>
          <w:p>
            <w:pPr>
              <w:spacing w:before="0" w:after="0" w:line="240" w:lineRule="auto"/>
              <w:ind w:firstLine="0"/>
              <w:jc w:val="center"/>
            </w:pPr>
            <w:r/>
            <w:r>
              <w:rPr>
                <w:rFonts w:ascii="Times New Roman" w:hAnsi="Times New Roman"/>
                <w:b/>
                <w:sz w:val="24"/>
              </w:rPr>
              <w:t>Классификационный признак</w:t>
            </w:r>
          </w:p>
        </w:tc>
        <w:tc>
          <w:tcPr>
            <w:tcW w:type="dxa" w:w="2948"/>
          </w:tcPr>
          <w:p>
            <w:pPr>
              <w:spacing w:before="0" w:after="0" w:line="240" w:lineRule="auto"/>
              <w:ind w:firstLine="0"/>
              <w:jc w:val="center"/>
            </w:pPr>
            <w:r/>
            <w:r>
              <w:rPr>
                <w:rFonts w:ascii="Times New Roman" w:hAnsi="Times New Roman"/>
                <w:b/>
                <w:sz w:val="24"/>
              </w:rPr>
              <w:t>Типы продуктов</w:t>
            </w:r>
          </w:p>
        </w:tc>
        <w:tc>
          <w:tcPr>
            <w:tcW w:type="dxa" w:w="3628"/>
          </w:tcPr>
          <w:p>
            <w:pPr>
              <w:spacing w:before="0" w:after="0" w:line="240" w:lineRule="auto"/>
              <w:ind w:firstLine="0"/>
              <w:jc w:val="center"/>
            </w:pPr>
            <w:r/>
            <w:r>
              <w:rPr>
                <w:rFonts w:ascii="Times New Roman" w:hAnsi="Times New Roman"/>
                <w:b/>
                <w:sz w:val="24"/>
              </w:rPr>
              <w:t>Примеры реализации</w:t>
            </w:r>
          </w:p>
        </w:tc>
      </w:tr>
      <w:tr>
        <w:tc>
          <w:tcPr>
            <w:tcW w:type="dxa" w:w="737"/>
          </w:tcPr>
          <w:p>
            <w:pPr>
              <w:spacing w:before="0" w:after="0" w:line="240" w:lineRule="auto"/>
              <w:ind w:firstLine="0"/>
              <w:jc w:val="left"/>
            </w:pPr>
            <w:r/>
            <w:r>
              <w:rPr>
                <w:rFonts w:ascii="Times New Roman" w:hAnsi="Times New Roman"/>
                <w:b w:val="0"/>
                <w:sz w:val="24"/>
              </w:rPr>
              <w:t>1</w:t>
            </w:r>
          </w:p>
        </w:tc>
        <w:tc>
          <w:tcPr>
            <w:tcW w:type="dxa" w:w="2041"/>
          </w:tcPr>
          <w:p>
            <w:pPr>
              <w:spacing w:before="0" w:after="0" w:line="240" w:lineRule="auto"/>
              <w:ind w:firstLine="0"/>
              <w:jc w:val="left"/>
            </w:pPr>
            <w:r/>
            <w:r>
              <w:rPr>
                <w:rFonts w:ascii="Times New Roman" w:hAnsi="Times New Roman"/>
                <w:b w:val="0"/>
                <w:sz w:val="24"/>
              </w:rPr>
              <w:t>По функциональному назначению</w:t>
            </w:r>
          </w:p>
        </w:tc>
        <w:tc>
          <w:tcPr>
            <w:tcW w:type="dxa" w:w="2948"/>
          </w:tcPr>
          <w:p>
            <w:pPr>
              <w:spacing w:before="0" w:after="0" w:line="240" w:lineRule="auto"/>
              <w:ind w:firstLine="0"/>
              <w:jc w:val="left"/>
            </w:pPr>
            <w:r/>
            <w:r>
              <w:rPr>
                <w:rFonts w:ascii="Times New Roman" w:hAnsi="Times New Roman"/>
                <w:b w:val="0"/>
                <w:sz w:val="24"/>
              </w:rPr>
              <w:t>Классифайды и маркетплейсы объявлений</w:t>
            </w:r>
          </w:p>
        </w:tc>
        <w:tc>
          <w:tcPr>
            <w:tcW w:type="dxa" w:w="3628"/>
          </w:tcPr>
          <w:p>
            <w:pPr>
              <w:spacing w:before="0" w:after="0" w:line="240" w:lineRule="auto"/>
              <w:ind w:firstLine="0"/>
              <w:jc w:val="left"/>
            </w:pPr>
            <w:r/>
            <w:r>
              <w:rPr>
                <w:rFonts w:ascii="Times New Roman" w:hAnsi="Times New Roman"/>
                <w:b w:val="0"/>
                <w:sz w:val="24"/>
              </w:rPr>
              <w:t>ЦИАН, Авито Недвижимость, Яндекс Недвижимость</w:t>
            </w:r>
          </w:p>
        </w:tc>
      </w:tr>
      <w:tr>
        <w:tc>
          <w:tcPr>
            <w:tcW w:type="dxa" w:w="737"/>
          </w:tcPr>
          <w:p>
            <w:pPr>
              <w:spacing w:before="0" w:after="0" w:line="240" w:lineRule="auto"/>
              <w:ind w:firstLine="0"/>
              <w:jc w:val="left"/>
            </w:pPr>
            <w:r/>
            <w:r>
              <w:rPr>
                <w:rFonts w:ascii="Times New Roman" w:hAnsi="Times New Roman"/>
                <w:b w:val="0"/>
                <w:sz w:val="24"/>
              </w:rPr>
            </w:r>
          </w:p>
        </w:tc>
        <w:tc>
          <w:tcPr>
            <w:tcW w:type="dxa" w:w="2041"/>
          </w:tcPr>
          <w:p>
            <w:pPr>
              <w:spacing w:before="0" w:after="0" w:line="240" w:lineRule="auto"/>
              <w:ind w:firstLine="0"/>
              <w:jc w:val="left"/>
            </w:pPr>
            <w:r/>
            <w:r>
              <w:rPr>
                <w:rFonts w:ascii="Times New Roman" w:hAnsi="Times New Roman"/>
                <w:b w:val="0"/>
                <w:sz w:val="24"/>
              </w:rPr>
            </w:r>
          </w:p>
        </w:tc>
        <w:tc>
          <w:tcPr>
            <w:tcW w:type="dxa" w:w="2948"/>
          </w:tcPr>
          <w:p>
            <w:pPr>
              <w:spacing w:before="0" w:after="0" w:line="240" w:lineRule="auto"/>
              <w:ind w:firstLine="0"/>
              <w:jc w:val="left"/>
            </w:pPr>
            <w:r/>
            <w:r>
              <w:rPr>
                <w:rFonts w:ascii="Times New Roman" w:hAnsi="Times New Roman"/>
                <w:b w:val="0"/>
                <w:sz w:val="24"/>
              </w:rPr>
              <w:t>Аналитические платформы по данным рынка</w:t>
            </w:r>
          </w:p>
        </w:tc>
        <w:tc>
          <w:tcPr>
            <w:tcW w:type="dxa" w:w="3628"/>
          </w:tcPr>
          <w:p>
            <w:pPr>
              <w:spacing w:before="0" w:after="0" w:line="240" w:lineRule="auto"/>
              <w:ind w:firstLine="0"/>
              <w:jc w:val="left"/>
            </w:pPr>
            <w:r/>
            <w:r>
              <w:rPr>
                <w:rFonts w:ascii="Times New Roman" w:hAnsi="Times New Roman"/>
                <w:b w:val="0"/>
                <w:sz w:val="24"/>
              </w:rPr>
              <w:t>ЦИАН Аналитика, DataFlat.ru, bnMAP.pro, CoStar</w:t>
            </w:r>
          </w:p>
        </w:tc>
      </w:tr>
      <w:tr>
        <w:tc>
          <w:tcPr>
            <w:tcW w:type="dxa" w:w="737"/>
          </w:tcPr>
          <w:p>
            <w:pPr>
              <w:spacing w:before="0" w:after="0" w:line="240" w:lineRule="auto"/>
              <w:ind w:firstLine="0"/>
              <w:jc w:val="left"/>
            </w:pPr>
            <w:r/>
            <w:r>
              <w:rPr>
                <w:rFonts w:ascii="Times New Roman" w:hAnsi="Times New Roman"/>
                <w:b w:val="0"/>
                <w:sz w:val="24"/>
              </w:rPr>
            </w:r>
          </w:p>
        </w:tc>
        <w:tc>
          <w:tcPr>
            <w:tcW w:type="dxa" w:w="2041"/>
          </w:tcPr>
          <w:p>
            <w:pPr>
              <w:spacing w:before="0" w:after="0" w:line="240" w:lineRule="auto"/>
              <w:ind w:firstLine="0"/>
              <w:jc w:val="left"/>
            </w:pPr>
            <w:r/>
            <w:r>
              <w:rPr>
                <w:rFonts w:ascii="Times New Roman" w:hAnsi="Times New Roman"/>
                <w:b w:val="0"/>
                <w:sz w:val="24"/>
              </w:rPr>
            </w:r>
          </w:p>
        </w:tc>
        <w:tc>
          <w:tcPr>
            <w:tcW w:type="dxa" w:w="2948"/>
          </w:tcPr>
          <w:p>
            <w:pPr>
              <w:spacing w:before="0" w:after="0" w:line="240" w:lineRule="auto"/>
              <w:ind w:firstLine="0"/>
              <w:jc w:val="left"/>
            </w:pPr>
            <w:r/>
            <w:r>
              <w:rPr>
                <w:rFonts w:ascii="Times New Roman" w:hAnsi="Times New Roman"/>
                <w:b w:val="0"/>
                <w:sz w:val="24"/>
              </w:rPr>
              <w:t>Сервисы автоматизированной оценки (AVM)</w:t>
            </w:r>
          </w:p>
        </w:tc>
        <w:tc>
          <w:tcPr>
            <w:tcW w:type="dxa" w:w="3628"/>
          </w:tcPr>
          <w:p>
            <w:pPr>
              <w:spacing w:before="0" w:after="0" w:line="240" w:lineRule="auto"/>
              <w:ind w:firstLine="0"/>
              <w:jc w:val="left"/>
            </w:pPr>
            <w:r/>
            <w:r>
              <w:rPr>
                <w:rFonts w:ascii="Times New Roman" w:hAnsi="Times New Roman"/>
                <w:b w:val="0"/>
                <w:sz w:val="24"/>
              </w:rPr>
              <w:t>Zillow Zestimate, HouseCanary</w:t>
            </w:r>
          </w:p>
        </w:tc>
      </w:tr>
      <w:tr>
        <w:tc>
          <w:tcPr>
            <w:tcW w:type="dxa" w:w="737"/>
          </w:tcPr>
          <w:p>
            <w:pPr>
              <w:spacing w:before="0" w:after="0" w:line="240" w:lineRule="auto"/>
              <w:ind w:firstLine="0"/>
              <w:jc w:val="left"/>
            </w:pPr>
            <w:r/>
            <w:r>
              <w:rPr>
                <w:rFonts w:ascii="Times New Roman" w:hAnsi="Times New Roman"/>
                <w:b w:val="0"/>
                <w:sz w:val="24"/>
              </w:rPr>
            </w:r>
          </w:p>
        </w:tc>
        <w:tc>
          <w:tcPr>
            <w:tcW w:type="dxa" w:w="2041"/>
          </w:tcPr>
          <w:p>
            <w:pPr>
              <w:spacing w:before="0" w:after="0" w:line="240" w:lineRule="auto"/>
              <w:ind w:firstLine="0"/>
              <w:jc w:val="left"/>
            </w:pPr>
            <w:r/>
            <w:r>
              <w:rPr>
                <w:rFonts w:ascii="Times New Roman" w:hAnsi="Times New Roman"/>
                <w:b w:val="0"/>
                <w:sz w:val="24"/>
              </w:rPr>
            </w:r>
          </w:p>
        </w:tc>
        <w:tc>
          <w:tcPr>
            <w:tcW w:type="dxa" w:w="2948"/>
          </w:tcPr>
          <w:p>
            <w:pPr>
              <w:spacing w:before="0" w:after="0" w:line="240" w:lineRule="auto"/>
              <w:ind w:firstLine="0"/>
              <w:jc w:val="left"/>
            </w:pPr>
            <w:r/>
            <w:r>
              <w:rPr>
                <w:rFonts w:ascii="Times New Roman" w:hAnsi="Times New Roman"/>
                <w:b w:val="0"/>
                <w:sz w:val="24"/>
              </w:rPr>
              <w:t>Государственные системы учёта и реализации имущества</w:t>
            </w:r>
          </w:p>
        </w:tc>
        <w:tc>
          <w:tcPr>
            <w:tcW w:type="dxa" w:w="3628"/>
          </w:tcPr>
          <w:p>
            <w:pPr>
              <w:spacing w:before="0" w:after="0" w:line="240" w:lineRule="auto"/>
              <w:ind w:firstLine="0"/>
              <w:jc w:val="left"/>
            </w:pPr>
            <w:r/>
            <w:r>
              <w:rPr>
                <w:rFonts w:ascii="Times New Roman" w:hAnsi="Times New Roman"/>
                <w:b w:val="0"/>
                <w:sz w:val="24"/>
              </w:rPr>
              <w:t>«Наш.Дом.РФ», «Москварталы», инвестиционный портал Москвы</w:t>
            </w:r>
          </w:p>
        </w:tc>
      </w:tr>
      <w:tr>
        <w:tc>
          <w:tcPr>
            <w:tcW w:type="dxa" w:w="737"/>
          </w:tcPr>
          <w:p>
            <w:pPr>
              <w:spacing w:before="0" w:after="0" w:line="240" w:lineRule="auto"/>
              <w:ind w:firstLine="0"/>
              <w:jc w:val="left"/>
            </w:pPr>
            <w:r/>
            <w:r>
              <w:rPr>
                <w:rFonts w:ascii="Times New Roman" w:hAnsi="Times New Roman"/>
                <w:b w:val="0"/>
                <w:sz w:val="24"/>
              </w:rPr>
            </w:r>
          </w:p>
        </w:tc>
        <w:tc>
          <w:tcPr>
            <w:tcW w:type="dxa" w:w="2041"/>
          </w:tcPr>
          <w:p>
            <w:pPr>
              <w:spacing w:before="0" w:after="0" w:line="240" w:lineRule="auto"/>
              <w:ind w:firstLine="0"/>
              <w:jc w:val="left"/>
            </w:pPr>
            <w:r/>
            <w:r>
              <w:rPr>
                <w:rFonts w:ascii="Times New Roman" w:hAnsi="Times New Roman"/>
                <w:b w:val="0"/>
                <w:sz w:val="24"/>
              </w:rPr>
            </w:r>
          </w:p>
        </w:tc>
        <w:tc>
          <w:tcPr>
            <w:tcW w:type="dxa" w:w="2948"/>
          </w:tcPr>
          <w:p>
            <w:pPr>
              <w:spacing w:before="0" w:after="0" w:line="240" w:lineRule="auto"/>
              <w:ind w:firstLine="0"/>
              <w:jc w:val="left"/>
            </w:pPr>
            <w:r/>
            <w:r>
              <w:rPr>
                <w:rFonts w:ascii="Times New Roman" w:hAnsi="Times New Roman"/>
                <w:b w:val="0"/>
                <w:sz w:val="24"/>
              </w:rPr>
              <w:t>Системы мониторинга и версионирования предложения</w:t>
            </w:r>
          </w:p>
        </w:tc>
        <w:tc>
          <w:tcPr>
            <w:tcW w:type="dxa" w:w="3628"/>
          </w:tcPr>
          <w:p>
            <w:pPr>
              <w:spacing w:before="0" w:after="0" w:line="240" w:lineRule="auto"/>
              <w:ind w:firstLine="0"/>
              <w:jc w:val="left"/>
            </w:pPr>
            <w:r/>
            <w:r>
              <w:rPr>
                <w:rFonts w:ascii="Times New Roman" w:hAnsi="Times New Roman"/>
                <w:b w:val="0"/>
                <w:sz w:val="24"/>
              </w:rPr>
              <w:t>Разрабатываемый продукт «mosres»</w:t>
            </w:r>
          </w:p>
        </w:tc>
      </w:tr>
      <w:tr>
        <w:tc>
          <w:tcPr>
            <w:tcW w:type="dxa" w:w="737"/>
          </w:tcPr>
          <w:p>
            <w:pPr>
              <w:spacing w:before="0" w:after="0" w:line="240" w:lineRule="auto"/>
              <w:ind w:firstLine="0"/>
              <w:jc w:val="left"/>
            </w:pPr>
            <w:r/>
            <w:r>
              <w:rPr>
                <w:rFonts w:ascii="Times New Roman" w:hAnsi="Times New Roman"/>
                <w:b w:val="0"/>
                <w:sz w:val="24"/>
              </w:rPr>
              <w:t>2</w:t>
            </w:r>
          </w:p>
        </w:tc>
        <w:tc>
          <w:tcPr>
            <w:tcW w:type="dxa" w:w="2041"/>
          </w:tcPr>
          <w:p>
            <w:pPr>
              <w:spacing w:before="0" w:after="0" w:line="240" w:lineRule="auto"/>
              <w:ind w:firstLine="0"/>
              <w:jc w:val="left"/>
            </w:pPr>
            <w:r/>
            <w:r>
              <w:rPr>
                <w:rFonts w:ascii="Times New Roman" w:hAnsi="Times New Roman"/>
                <w:b w:val="0"/>
                <w:sz w:val="24"/>
              </w:rPr>
              <w:t>По типу заказчика и пользователя</w:t>
            </w:r>
          </w:p>
        </w:tc>
        <w:tc>
          <w:tcPr>
            <w:tcW w:type="dxa" w:w="2948"/>
          </w:tcPr>
          <w:p>
            <w:pPr>
              <w:spacing w:before="0" w:after="0" w:line="240" w:lineRule="auto"/>
              <w:ind w:firstLine="0"/>
              <w:jc w:val="left"/>
            </w:pPr>
            <w:r/>
            <w:r>
              <w:rPr>
                <w:rFonts w:ascii="Times New Roman" w:hAnsi="Times New Roman"/>
                <w:b w:val="0"/>
                <w:sz w:val="24"/>
              </w:rPr>
              <w:t>B2C — покупатель; B2B — риелтор, застройщик, банк; B2G — орган исполнительной власти</w:t>
            </w:r>
          </w:p>
        </w:tc>
        <w:tc>
          <w:tcPr>
            <w:tcW w:type="dxa" w:w="3628"/>
          </w:tcPr>
          <w:p>
            <w:pPr>
              <w:spacing w:before="0" w:after="0" w:line="240" w:lineRule="auto"/>
              <w:ind w:firstLine="0"/>
              <w:jc w:val="left"/>
            </w:pPr>
            <w:r/>
            <w:r>
              <w:rPr>
                <w:rFonts w:ascii="Times New Roman" w:hAnsi="Times New Roman"/>
                <w:b w:val="0"/>
                <w:sz w:val="24"/>
              </w:rPr>
              <w:t>Домклик (B2C); bnMAP.pro (B2B); «mosres», «Наш.Дом.РФ» (B2G)</w:t>
            </w:r>
          </w:p>
        </w:tc>
      </w:tr>
      <w:tr>
        <w:tc>
          <w:tcPr>
            <w:tcW w:type="dxa" w:w="737"/>
          </w:tcPr>
          <w:p>
            <w:pPr>
              <w:spacing w:before="0" w:after="0" w:line="240" w:lineRule="auto"/>
              <w:ind w:firstLine="0"/>
              <w:jc w:val="left"/>
            </w:pPr>
            <w:r/>
            <w:r>
              <w:rPr>
                <w:rFonts w:ascii="Times New Roman" w:hAnsi="Times New Roman"/>
                <w:b w:val="0"/>
                <w:sz w:val="24"/>
              </w:rPr>
              <w:t>3</w:t>
            </w:r>
          </w:p>
        </w:tc>
        <w:tc>
          <w:tcPr>
            <w:tcW w:type="dxa" w:w="2041"/>
          </w:tcPr>
          <w:p>
            <w:pPr>
              <w:spacing w:before="0" w:after="0" w:line="240" w:lineRule="auto"/>
              <w:ind w:firstLine="0"/>
              <w:jc w:val="left"/>
            </w:pPr>
            <w:r/>
            <w:r>
              <w:rPr>
                <w:rFonts w:ascii="Times New Roman" w:hAnsi="Times New Roman"/>
                <w:b w:val="0"/>
                <w:sz w:val="24"/>
              </w:rPr>
              <w:t>По модели поставки</w:t>
            </w:r>
          </w:p>
        </w:tc>
        <w:tc>
          <w:tcPr>
            <w:tcW w:type="dxa" w:w="2948"/>
          </w:tcPr>
          <w:p>
            <w:pPr>
              <w:spacing w:before="0" w:after="0" w:line="240" w:lineRule="auto"/>
              <w:ind w:firstLine="0"/>
              <w:jc w:val="left"/>
            </w:pPr>
            <w:r/>
            <w:r>
              <w:rPr>
                <w:rFonts w:ascii="Times New Roman" w:hAnsi="Times New Roman"/>
                <w:b w:val="0"/>
                <w:sz w:val="24"/>
              </w:rPr>
              <w:t>Облачный сервис (SaaS); развёртывание в инфраструктуре заказчика (on-premise)</w:t>
            </w:r>
          </w:p>
        </w:tc>
        <w:tc>
          <w:tcPr>
            <w:tcW w:type="dxa" w:w="3628"/>
          </w:tcPr>
          <w:p>
            <w:pPr>
              <w:spacing w:before="0" w:after="0" w:line="240" w:lineRule="auto"/>
              <w:ind w:firstLine="0"/>
              <w:jc w:val="left"/>
            </w:pPr>
            <w:r/>
            <w:r>
              <w:rPr>
                <w:rFonts w:ascii="Times New Roman" w:hAnsi="Times New Roman"/>
                <w:b w:val="0"/>
                <w:sz w:val="24"/>
              </w:rPr>
              <w:t>ЦИАН Аналитика (SaaS); «mosres» и ведомственные системы (on-premise)</w:t>
            </w:r>
          </w:p>
        </w:tc>
      </w:tr>
      <w:tr>
        <w:tc>
          <w:tcPr>
            <w:tcW w:type="dxa" w:w="737"/>
          </w:tcPr>
          <w:p>
            <w:pPr>
              <w:spacing w:before="0" w:after="0" w:line="240" w:lineRule="auto"/>
              <w:ind w:firstLine="0"/>
              <w:jc w:val="left"/>
            </w:pPr>
            <w:r/>
            <w:r>
              <w:rPr>
                <w:rFonts w:ascii="Times New Roman" w:hAnsi="Times New Roman"/>
                <w:b w:val="0"/>
                <w:sz w:val="24"/>
              </w:rPr>
              <w:t>4</w:t>
            </w:r>
          </w:p>
        </w:tc>
        <w:tc>
          <w:tcPr>
            <w:tcW w:type="dxa" w:w="2041"/>
          </w:tcPr>
          <w:p>
            <w:pPr>
              <w:spacing w:before="0" w:after="0" w:line="240" w:lineRule="auto"/>
              <w:ind w:firstLine="0"/>
              <w:jc w:val="left"/>
            </w:pPr>
            <w:r/>
            <w:r>
              <w:rPr>
                <w:rFonts w:ascii="Times New Roman" w:hAnsi="Times New Roman"/>
                <w:b w:val="0"/>
                <w:sz w:val="24"/>
              </w:rPr>
              <w:t>По способу получения данных</w:t>
            </w:r>
          </w:p>
        </w:tc>
        <w:tc>
          <w:tcPr>
            <w:tcW w:type="dxa" w:w="2948"/>
          </w:tcPr>
          <w:p>
            <w:pPr>
              <w:spacing w:before="0" w:after="0" w:line="240" w:lineRule="auto"/>
              <w:ind w:firstLine="0"/>
              <w:jc w:val="left"/>
            </w:pPr>
            <w:r/>
            <w:r>
              <w:rPr>
                <w:rFonts w:ascii="Times New Roman" w:hAnsi="Times New Roman"/>
                <w:b w:val="0"/>
                <w:sz w:val="24"/>
              </w:rPr>
              <w:t>Ручной ввод и партнёрские фиды; автоматизированный сбор с публичных источников; интеграция с государственными реестрами</w:t>
            </w:r>
          </w:p>
        </w:tc>
        <w:tc>
          <w:tcPr>
            <w:tcW w:type="dxa" w:w="3628"/>
          </w:tcPr>
          <w:p>
            <w:pPr>
              <w:spacing w:before="0" w:after="0" w:line="240" w:lineRule="auto"/>
              <w:ind w:firstLine="0"/>
              <w:jc w:val="left"/>
            </w:pPr>
            <w:r/>
            <w:r>
              <w:rPr>
                <w:rFonts w:ascii="Times New Roman" w:hAnsi="Times New Roman"/>
                <w:b w:val="0"/>
                <w:sz w:val="24"/>
              </w:rPr>
              <w:t>Классифайды; «mosres» (портал «Москварталы»); «Наш.Дом.РФ», ЕГРН</w:t>
            </w:r>
          </w:p>
        </w:tc>
      </w:tr>
      <w:tr>
        <w:tc>
          <w:tcPr>
            <w:tcW w:type="dxa" w:w="737"/>
          </w:tcPr>
          <w:p>
            <w:pPr>
              <w:spacing w:before="0" w:after="0" w:line="240" w:lineRule="auto"/>
              <w:ind w:firstLine="0"/>
              <w:jc w:val="left"/>
            </w:pPr>
            <w:r/>
            <w:r>
              <w:rPr>
                <w:rFonts w:ascii="Times New Roman" w:hAnsi="Times New Roman"/>
                <w:b w:val="0"/>
                <w:sz w:val="24"/>
              </w:rPr>
              <w:t>5</w:t>
            </w:r>
          </w:p>
        </w:tc>
        <w:tc>
          <w:tcPr>
            <w:tcW w:type="dxa" w:w="2041"/>
          </w:tcPr>
          <w:p>
            <w:pPr>
              <w:spacing w:before="0" w:after="0" w:line="240" w:lineRule="auto"/>
              <w:ind w:firstLine="0"/>
              <w:jc w:val="left"/>
            </w:pPr>
            <w:r/>
            <w:r>
              <w:rPr>
                <w:rFonts w:ascii="Times New Roman" w:hAnsi="Times New Roman"/>
                <w:b w:val="0"/>
                <w:sz w:val="24"/>
              </w:rPr>
              <w:t>По модели монетизации</w:t>
            </w:r>
          </w:p>
        </w:tc>
        <w:tc>
          <w:tcPr>
            <w:tcW w:type="dxa" w:w="2948"/>
          </w:tcPr>
          <w:p>
            <w:pPr>
              <w:spacing w:before="0" w:after="0" w:line="240" w:lineRule="auto"/>
              <w:ind w:firstLine="0"/>
              <w:jc w:val="left"/>
            </w:pPr>
            <w:r/>
            <w:r>
              <w:rPr>
                <w:rFonts w:ascii="Times New Roman" w:hAnsi="Times New Roman"/>
                <w:b w:val="0"/>
                <w:sz w:val="24"/>
              </w:rPr>
              <w:t>Подписка; комиссия и платное размещение; бюджетное финансирование по государственному контракту</w:t>
            </w:r>
          </w:p>
        </w:tc>
        <w:tc>
          <w:tcPr>
            <w:tcW w:type="dxa" w:w="3628"/>
          </w:tcPr>
          <w:p>
            <w:pPr>
              <w:spacing w:before="0" w:after="0" w:line="240" w:lineRule="auto"/>
              <w:ind w:firstLine="0"/>
              <w:jc w:val="left"/>
            </w:pPr>
            <w:r/>
            <w:r>
              <w:rPr>
                <w:rFonts w:ascii="Times New Roman" w:hAnsi="Times New Roman"/>
                <w:b w:val="0"/>
                <w:sz w:val="24"/>
              </w:rPr>
              <w:t>DataFlat.ru; классифайды; «mosres», ведомственные системы</w:t>
            </w:r>
          </w:p>
        </w:tc>
      </w:tr>
    </w:tbl>
    <w:p>
      <w:pPr>
        <w:spacing w:before="0" w:after="0" w:line="360" w:lineRule="auto"/>
        <w:ind w:firstLine="0"/>
      </w:pPr>
    </w:p>
    <w:p>
      <w:pPr>
        <w:spacing w:before="0" w:after="0" w:line="360" w:lineRule="auto"/>
        <w:ind w:firstLine="709"/>
        <w:jc w:val="both"/>
      </w:pPr>
      <w:r>
        <w:rPr>
          <w:b w:val="0"/>
        </w:rPr>
        <w:t>Приведённая классификация показывает принципиальную особенность продуктов B2G-сегмента, к которому относится разрабатываемый продукт. Такой продукт не продаётся пользователю и не получает выручки в обычном понимании: он финансируется из бюджета по государственному контракту, а его экономический результат проявляется у заказчика в форме выгод трёх типов. Первый тип — экономия рабочего времени сотрудников, ранее занятых ручным сбором, сверкой и оформлением данных. Второй тип — прирост доходов от основной деятельности заказчика: в рассматриваемом случае это более точное и своевременное ценообразование при реализации квартир, находящихся в собственности города. Третий тип — отказ от закупки сторонних коммерческих сервисов, функции которых замещаются собственным продуктом. Именно такая трёхкомпонентная структура выгод положена в основу расчётов подраздела 2.2, где она подставляется в стандартные формулы оценки эффективности вместо выручки от продаж.</w:t>
      </w:r>
    </w:p>
    <w:p>
      <w:pPr>
        <w:spacing w:before="0" w:after="0" w:line="360" w:lineRule="auto"/>
        <w:ind w:firstLine="709"/>
        <w:jc w:val="both"/>
      </w:pPr>
      <w:r>
        <w:rPr>
          <w:b w:val="0"/>
        </w:rPr>
        <w:t>Вывод по подразделу. Программный продукт для мониторинга рынка жилой недвижимости представляет собой товар с высокими единовременными затратами на создание и близкими к нулю затратами на тиражирование, что делает оценку трудоёмкости центральным элементом экономического обоснования. Исторически такие продукты развивались от закрытых баз листингов к аналитическим платформам и государственным информационным системам. Разрабатываемый продукт относится к классу систем мониторинга и версионирования предложения, создаваемых для государственного заказчика по государственному контракту, — следовательно, его эффективность должна оцениваться через денежную оценку выгод заказчика, а не через выручку от продаж.</w:t>
      </w:r>
    </w:p>
    <w:p>
      <w:pPr>
        <w:pStyle w:val="Heading2"/>
        <w:spacing w:before="0" w:after="0" w:line="360" w:lineRule="auto"/>
        <w:ind w:firstLine="709"/>
        <w:jc w:val="left"/>
      </w:pPr>
      <w:r>
        <w:rPr>
          <w:b/>
        </w:rPr>
        <w:t>1.2 Нормативно-правовое регулирование разработки программных продуктов для государственного заказчика в России</w:t>
      </w:r>
    </w:p>
    <w:p>
      <w:pPr>
        <w:spacing w:before="0" w:after="0" w:line="360" w:lineRule="auto"/>
        <w:ind w:firstLine="709"/>
        <w:jc w:val="both"/>
      </w:pPr>
      <w:r>
        <w:rPr>
          <w:b w:val="0"/>
        </w:rPr>
        <w:t>Разработка программного продукта, внедряемого в органе исполнительной власти субъекта Российской Федерации, регулируется одновременно законодательством об интеллектуальной собственности, об информации, о закупках и о защите информации. Требования этих актов носят не декларативный характер: каждое из них прямо влияет либо на состав работ, либо на выбор технологий, либо на структуру затрат проекта.</w:t>
      </w:r>
    </w:p>
    <w:p>
      <w:pPr>
        <w:spacing w:before="0" w:after="0" w:line="360" w:lineRule="auto"/>
        <w:ind w:firstLine="709"/>
        <w:jc w:val="both"/>
      </w:pPr>
      <w:r>
        <w:rPr>
          <w:b w:val="0"/>
        </w:rPr>
        <w:t>Основой правовой охраны продукта является часть четвёртая Гражданского кодекса Российской Федерации. Программы для ЭВМ охраняются как литературные произведения (статья 1261), исключительное право на служебное произведение принадлежит работодателю (статья 1295), а для произведений, созданных по государственному или муниципальному контракту, действует специальный режим статьи 1298: принадлежность исключительного права определяется контрактом, причём заказчик в любом случае получает право использования результата для государственных нужд [1]. Для проекта это означает необходимость прямо закрепить в контракте распределение прав на исходный код и возможность дальнейшего развития системы силами иного исполнителя. Дополнительной мерой защиты выступает государственная регистрация программы для ЭВМ в Роспатенте (статья 1262).</w:t>
      </w:r>
    </w:p>
    <w:p>
      <w:pPr>
        <w:spacing w:before="0" w:after="0" w:line="360" w:lineRule="auto"/>
        <w:ind w:firstLine="709"/>
        <w:jc w:val="both"/>
      </w:pPr>
      <w:r>
        <w:rPr>
          <w:b w:val="0"/>
        </w:rPr>
        <w:t>Правомерность автоматизированного сбора данных определяется Федеральным законом от 27.07.2006 № 149-ФЗ «Об информации, информационных технологиях и о защите информации» [4]. Сведения о квартирах, выставленных городом на продажу, являются общедоступной информацией, размещённой правообладателем в открытом доступе, поэтому их получение и обработка правомерны. Вместе с тем разработчик обязан не создавать избыточную нагрузку на источник и не обходить технические средства защиты: в разрабатываемом продукте это обеспечивается ограничением частоты обращений (регламентный опрос источника один раз в 30 минут) и повторными попытками с экспоненциальной задержкой вместо параллельного массового опроса.</w:t>
      </w:r>
    </w:p>
    <w:p>
      <w:pPr>
        <w:spacing w:before="0" w:after="0" w:line="360" w:lineRule="auto"/>
        <w:ind w:firstLine="709"/>
        <w:jc w:val="both"/>
      </w:pPr>
      <w:r>
        <w:rPr>
          <w:b w:val="0"/>
        </w:rPr>
        <w:t>Обработка персональных данных регулируется Федеральным законом от 27.07.2006 № 152-ФЗ [5]. Сведения о квартирах персональными данными не являются, однако система хранит учётные записи пользователей и авторство комментариев, что относит её к информационным системам персональных данных. Отсюда требования: хранение баз данных на территории Российской Федерации (часть 5 статьи 18), хранение паролей исключительно в виде необратимых хэшей, разграничение доступа и ведение журналов. В проекте они реализованы через авторизацию по подписанным токенам с ограниченным сроком жизни и собственный набор учётных записей, управляемый администратором.</w:t>
      </w:r>
    </w:p>
    <w:p>
      <w:pPr>
        <w:spacing w:before="0" w:after="0" w:line="360" w:lineRule="auto"/>
        <w:ind w:firstLine="709"/>
        <w:jc w:val="both"/>
      </w:pPr>
      <w:r>
        <w:rPr>
          <w:b w:val="0"/>
        </w:rPr>
        <w:t>Порядок финансирования и приёмки работ определяется Федеральным законом от 05.04.2013 № 44-ФЗ [3]. Закон требует обоснования начальной (максимальной) цены контракта, что придаёт расчётам подраздела 2.2 прикладной характер: смета трудозатрат становится приложением к техническому заданию, а операционные затраты оформляются отдельным контрактом на сопровождение с ежегодным подтверждением потребности.</w:t>
      </w:r>
    </w:p>
    <w:p>
      <w:pPr>
        <w:spacing w:before="0" w:after="0" w:line="360" w:lineRule="auto"/>
        <w:ind w:firstLine="709"/>
        <w:jc w:val="both"/>
      </w:pPr>
      <w:r>
        <w:rPr>
          <w:b w:val="0"/>
        </w:rPr>
        <w:t>Выбор технологического стека ограничен постановлением Правительства Российской Федерации от 16.11.2015 № 1236, устанавливающим запрет на допуск иностранного программного обеспечения при осуществлении закупок для государственных и муниципальных нужд, и связанным с ним реестром отечественного программного обеспечения [8, 26]. Требование выполняется за счёт использования свободного программного обеспечения с открытым исходным кодом (операционная система семейства Linux, система управления базами данных PostgreSQL, язык программирования Python, веб-сервер nginx, контейнеризация Docker), не требующего лицензионных отчислений иностранным правообладателям. Экономическое следствие этого требования видно в структуре капитальных затрат: статья «лицензионное программное обеспечение» оказывается минимальной и включает только инструменты разработки и сертификаты.</w:t>
      </w:r>
    </w:p>
    <w:p>
      <w:pPr>
        <w:spacing w:before="0" w:after="0" w:line="360" w:lineRule="auto"/>
        <w:ind w:firstLine="709"/>
        <w:jc w:val="both"/>
      </w:pPr>
      <w:r>
        <w:rPr>
          <w:b w:val="0"/>
        </w:rPr>
        <w:t>Требования к защите информации в государственных информационных системах установлены приказом ФСТЭК России от 11.02.2013 № 17 [9]: система подлежит классификации по уровню значимости обрабатываемой информации, а по результатам — аттестации с применением сертифицированных средств защиты. Затраты на эти меры на этапе создания минимально жизнеспособной версии не оцениваются количественно, но учитываются при формировании резервного фонда и отмечаются в перечне рисков подраздела 2.3.</w:t>
      </w:r>
    </w:p>
    <w:p>
      <w:pPr>
        <w:spacing w:before="0" w:after="0" w:line="360" w:lineRule="auto"/>
        <w:ind w:firstLine="709"/>
        <w:jc w:val="both"/>
      </w:pPr>
      <w:r>
        <w:rPr>
          <w:b w:val="0"/>
        </w:rPr>
        <w:t>Состав и последовательность работ подчинены национальным стандартам на автоматизированные системы: ГОСТ 34.601-90 определяет стадии создания системы — от формирования требований до ввода в действие [12]; ГОСТ Р 59795-2021 задаёт состав документов на автоматизированную систему [13]; ГОСТ Р ИСО/МЭК 25010-2015 определяет модель качества, на основе которой формулируются измеримые требования к доступности и производительности [14]. Этапы таблицы 2.3 соотнесены со стадиями ГОСТ 34.601-90, что делает смету проверяемой заказчиком.</w:t>
      </w:r>
    </w:p>
    <w:p>
      <w:pPr>
        <w:spacing w:before="0" w:after="0" w:line="360" w:lineRule="auto"/>
        <w:ind w:firstLine="709"/>
        <w:jc w:val="both"/>
      </w:pPr>
      <w:r>
        <w:rPr>
          <w:b w:val="0"/>
        </w:rPr>
        <w:t>Деятельность заказчика, для которого создаётся продукт, опирается на особенности реновации жилищного фонда в городе Москве, установленные Федеральным законом от 01.07.2017 № 141-ФЗ [7], постановление Правительства Москвы от 01.08.2017 № 497-ПП о Программе реновации и постановление Правительства Москвы от 20.02.2013 № 99-ПП, закрепляющее за Департаментом городского имущества функции по распоряжению имуществом города, включая реализацию жилых помещений [10, 11]. Для вариантов дальнейшей коммерциализации продукта существенна статья 284 Налогового кодекса Российской Федерации: базовая ставка налога на прибыль с 2025 года составляет 25 %, тогда как для аккредитованных организаций в сфере информационных технологий действует пониженная ставка [2]. Соответствие ключевых нормативных требований проектным решениям представлено в таблице 1.2.</w:t>
      </w:r>
    </w:p>
    <w:p>
      <w:pPr>
        <w:spacing w:before="120" w:after="0" w:line="240" w:lineRule="auto"/>
        <w:ind w:firstLine="0"/>
        <w:jc w:val="left"/>
      </w:pPr>
      <w:r>
        <w:rPr>
          <w:b w:val="0"/>
        </w:rPr>
        <w:t>Таблица 1.2 – Влияние нормативных требований на проектные решения и затраты</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737"/>
          </w:tcPr>
          <w:p>
            <w:pPr>
              <w:spacing w:before="0" w:after="0" w:line="240" w:lineRule="auto"/>
              <w:ind w:firstLine="0"/>
              <w:jc w:val="center"/>
            </w:pPr>
            <w:r/>
            <w:r>
              <w:rPr>
                <w:rFonts w:ascii="Times New Roman" w:hAnsi="Times New Roman"/>
                <w:b/>
                <w:sz w:val="24"/>
              </w:rPr>
              <w:t>№ п/п</w:t>
            </w:r>
          </w:p>
        </w:tc>
        <w:tc>
          <w:tcPr>
            <w:tcW w:type="dxa" w:w="1928"/>
          </w:tcPr>
          <w:p>
            <w:pPr>
              <w:spacing w:before="0" w:after="0" w:line="240" w:lineRule="auto"/>
              <w:ind w:firstLine="0"/>
              <w:jc w:val="center"/>
            </w:pPr>
            <w:r/>
            <w:r>
              <w:rPr>
                <w:rFonts w:ascii="Times New Roman" w:hAnsi="Times New Roman"/>
                <w:b/>
                <w:sz w:val="24"/>
              </w:rPr>
              <w:t>Нормативный акт</w:t>
            </w:r>
          </w:p>
        </w:tc>
        <w:tc>
          <w:tcPr>
            <w:tcW w:type="dxa" w:w="2494"/>
          </w:tcPr>
          <w:p>
            <w:pPr>
              <w:spacing w:before="0" w:after="0" w:line="240" w:lineRule="auto"/>
              <w:ind w:firstLine="0"/>
              <w:jc w:val="center"/>
            </w:pPr>
            <w:r/>
            <w:r>
              <w:rPr>
                <w:rFonts w:ascii="Times New Roman" w:hAnsi="Times New Roman"/>
                <w:b/>
                <w:sz w:val="24"/>
              </w:rPr>
              <w:t>Требование</w:t>
            </w:r>
          </w:p>
        </w:tc>
        <w:tc>
          <w:tcPr>
            <w:tcW w:type="dxa" w:w="4195"/>
          </w:tcPr>
          <w:p>
            <w:pPr>
              <w:spacing w:before="0" w:after="0" w:line="240" w:lineRule="auto"/>
              <w:ind w:firstLine="0"/>
              <w:jc w:val="center"/>
            </w:pPr>
            <w:r/>
            <w:r>
              <w:rPr>
                <w:rFonts w:ascii="Times New Roman" w:hAnsi="Times New Roman"/>
                <w:b/>
                <w:sz w:val="24"/>
              </w:rPr>
              <w:t>Проектное решение и влияние на затраты</w:t>
            </w:r>
          </w:p>
        </w:tc>
      </w:tr>
      <w:tr>
        <w:tc>
          <w:tcPr>
            <w:tcW w:type="dxa" w:w="737"/>
          </w:tcPr>
          <w:p>
            <w:pPr>
              <w:spacing w:before="0" w:after="0" w:line="240" w:lineRule="auto"/>
              <w:ind w:firstLine="0"/>
              <w:jc w:val="left"/>
            </w:pPr>
            <w:r/>
            <w:r>
              <w:rPr>
                <w:rFonts w:ascii="Times New Roman" w:hAnsi="Times New Roman"/>
                <w:b w:val="0"/>
                <w:sz w:val="24"/>
              </w:rPr>
              <w:t>1</w:t>
            </w:r>
          </w:p>
        </w:tc>
        <w:tc>
          <w:tcPr>
            <w:tcW w:type="dxa" w:w="1928"/>
          </w:tcPr>
          <w:p>
            <w:pPr>
              <w:spacing w:before="0" w:after="0" w:line="240" w:lineRule="auto"/>
              <w:ind w:firstLine="0"/>
              <w:jc w:val="left"/>
            </w:pPr>
            <w:r/>
            <w:r>
              <w:rPr>
                <w:rFonts w:ascii="Times New Roman" w:hAnsi="Times New Roman"/>
                <w:b w:val="0"/>
                <w:sz w:val="24"/>
              </w:rPr>
              <w:t>ГК РФ, часть 4 (ст. 1261, 1295, 1298)</w:t>
            </w:r>
          </w:p>
        </w:tc>
        <w:tc>
          <w:tcPr>
            <w:tcW w:type="dxa" w:w="2494"/>
          </w:tcPr>
          <w:p>
            <w:pPr>
              <w:spacing w:before="0" w:after="0" w:line="240" w:lineRule="auto"/>
              <w:ind w:firstLine="0"/>
              <w:jc w:val="left"/>
            </w:pPr>
            <w:r/>
            <w:r>
              <w:rPr>
                <w:rFonts w:ascii="Times New Roman" w:hAnsi="Times New Roman"/>
                <w:b w:val="0"/>
                <w:sz w:val="24"/>
              </w:rPr>
              <w:t>Правовая охрана программы; определение правообладателя по контракту</w:t>
            </w:r>
          </w:p>
        </w:tc>
        <w:tc>
          <w:tcPr>
            <w:tcW w:type="dxa" w:w="4195"/>
          </w:tcPr>
          <w:p>
            <w:pPr>
              <w:spacing w:before="0" w:after="0" w:line="240" w:lineRule="auto"/>
              <w:ind w:firstLine="0"/>
              <w:jc w:val="left"/>
            </w:pPr>
            <w:r/>
            <w:r>
              <w:rPr>
                <w:rFonts w:ascii="Times New Roman" w:hAnsi="Times New Roman"/>
                <w:b w:val="0"/>
                <w:sz w:val="24"/>
              </w:rPr>
              <w:t>Закрепление прав на код в контракте, регистрация в Роспатенте; затрат не добавляет</w:t>
            </w:r>
          </w:p>
        </w:tc>
      </w:tr>
      <w:tr>
        <w:tc>
          <w:tcPr>
            <w:tcW w:type="dxa" w:w="737"/>
          </w:tcPr>
          <w:p>
            <w:pPr>
              <w:spacing w:before="0" w:after="0" w:line="240" w:lineRule="auto"/>
              <w:ind w:firstLine="0"/>
              <w:jc w:val="left"/>
            </w:pPr>
            <w:r/>
            <w:r>
              <w:rPr>
                <w:rFonts w:ascii="Times New Roman" w:hAnsi="Times New Roman"/>
                <w:b w:val="0"/>
                <w:sz w:val="24"/>
              </w:rPr>
              <w:t>2</w:t>
            </w:r>
          </w:p>
        </w:tc>
        <w:tc>
          <w:tcPr>
            <w:tcW w:type="dxa" w:w="1928"/>
          </w:tcPr>
          <w:p>
            <w:pPr>
              <w:spacing w:before="0" w:after="0" w:line="240" w:lineRule="auto"/>
              <w:ind w:firstLine="0"/>
              <w:jc w:val="left"/>
            </w:pPr>
            <w:r/>
            <w:r>
              <w:rPr>
                <w:rFonts w:ascii="Times New Roman" w:hAnsi="Times New Roman"/>
                <w:b w:val="0"/>
                <w:sz w:val="24"/>
              </w:rPr>
              <w:t>149-ФЗ</w:t>
            </w:r>
          </w:p>
        </w:tc>
        <w:tc>
          <w:tcPr>
            <w:tcW w:type="dxa" w:w="2494"/>
          </w:tcPr>
          <w:p>
            <w:pPr>
              <w:spacing w:before="0" w:after="0" w:line="240" w:lineRule="auto"/>
              <w:ind w:firstLine="0"/>
              <w:jc w:val="left"/>
            </w:pPr>
            <w:r/>
            <w:r>
              <w:rPr>
                <w:rFonts w:ascii="Times New Roman" w:hAnsi="Times New Roman"/>
                <w:b w:val="0"/>
                <w:sz w:val="24"/>
              </w:rPr>
              <w:t>Правомерность обработки общедоступной информации, недопустимость избыточной нагрузки</w:t>
            </w:r>
          </w:p>
        </w:tc>
        <w:tc>
          <w:tcPr>
            <w:tcW w:type="dxa" w:w="4195"/>
          </w:tcPr>
          <w:p>
            <w:pPr>
              <w:spacing w:before="0" w:after="0" w:line="240" w:lineRule="auto"/>
              <w:ind w:firstLine="0"/>
              <w:jc w:val="left"/>
            </w:pPr>
            <w:r/>
            <w:r>
              <w:rPr>
                <w:rFonts w:ascii="Times New Roman" w:hAnsi="Times New Roman"/>
                <w:b w:val="0"/>
                <w:sz w:val="24"/>
              </w:rPr>
              <w:t>Регламентный опрос источника раз в 30 минут, повторы с задержкой; влияет на требования к серверу</w:t>
            </w:r>
          </w:p>
        </w:tc>
      </w:tr>
      <w:tr>
        <w:tc>
          <w:tcPr>
            <w:tcW w:type="dxa" w:w="737"/>
          </w:tcPr>
          <w:p>
            <w:pPr>
              <w:spacing w:before="0" w:after="0" w:line="240" w:lineRule="auto"/>
              <w:ind w:firstLine="0"/>
              <w:jc w:val="left"/>
            </w:pPr>
            <w:r/>
            <w:r>
              <w:rPr>
                <w:rFonts w:ascii="Times New Roman" w:hAnsi="Times New Roman"/>
                <w:b w:val="0"/>
                <w:sz w:val="24"/>
              </w:rPr>
              <w:t>3</w:t>
            </w:r>
          </w:p>
        </w:tc>
        <w:tc>
          <w:tcPr>
            <w:tcW w:type="dxa" w:w="1928"/>
          </w:tcPr>
          <w:p>
            <w:pPr>
              <w:spacing w:before="0" w:after="0" w:line="240" w:lineRule="auto"/>
              <w:ind w:firstLine="0"/>
              <w:jc w:val="left"/>
            </w:pPr>
            <w:r/>
            <w:r>
              <w:rPr>
                <w:rFonts w:ascii="Times New Roman" w:hAnsi="Times New Roman"/>
                <w:b w:val="0"/>
                <w:sz w:val="24"/>
              </w:rPr>
              <w:t>152-ФЗ</w:t>
            </w:r>
          </w:p>
        </w:tc>
        <w:tc>
          <w:tcPr>
            <w:tcW w:type="dxa" w:w="2494"/>
          </w:tcPr>
          <w:p>
            <w:pPr>
              <w:spacing w:before="0" w:after="0" w:line="240" w:lineRule="auto"/>
              <w:ind w:firstLine="0"/>
              <w:jc w:val="left"/>
            </w:pPr>
            <w:r/>
            <w:r>
              <w:rPr>
                <w:rFonts w:ascii="Times New Roman" w:hAnsi="Times New Roman"/>
                <w:b w:val="0"/>
                <w:sz w:val="24"/>
              </w:rPr>
              <w:t>Защита учётных данных пользователей, хранение данных в РФ</w:t>
            </w:r>
          </w:p>
        </w:tc>
        <w:tc>
          <w:tcPr>
            <w:tcW w:type="dxa" w:w="4195"/>
          </w:tcPr>
          <w:p>
            <w:pPr>
              <w:spacing w:before="0" w:after="0" w:line="240" w:lineRule="auto"/>
              <w:ind w:firstLine="0"/>
              <w:jc w:val="left"/>
            </w:pPr>
            <w:r/>
            <w:r>
              <w:rPr>
                <w:rFonts w:ascii="Times New Roman" w:hAnsi="Times New Roman"/>
                <w:b w:val="0"/>
                <w:sz w:val="24"/>
              </w:rPr>
              <w:t>Хэширование паролей, токены с ограниченным сроком, размещение в российской инфраструктуре</w:t>
            </w:r>
          </w:p>
        </w:tc>
      </w:tr>
      <w:tr>
        <w:tc>
          <w:tcPr>
            <w:tcW w:type="dxa" w:w="737"/>
          </w:tcPr>
          <w:p>
            <w:pPr>
              <w:spacing w:before="0" w:after="0" w:line="240" w:lineRule="auto"/>
              <w:ind w:firstLine="0"/>
              <w:jc w:val="left"/>
            </w:pPr>
            <w:r/>
            <w:r>
              <w:rPr>
                <w:rFonts w:ascii="Times New Roman" w:hAnsi="Times New Roman"/>
                <w:b w:val="0"/>
                <w:sz w:val="24"/>
              </w:rPr>
              <w:t>4</w:t>
            </w:r>
          </w:p>
        </w:tc>
        <w:tc>
          <w:tcPr>
            <w:tcW w:type="dxa" w:w="1928"/>
          </w:tcPr>
          <w:p>
            <w:pPr>
              <w:spacing w:before="0" w:after="0" w:line="240" w:lineRule="auto"/>
              <w:ind w:firstLine="0"/>
              <w:jc w:val="left"/>
            </w:pPr>
            <w:r/>
            <w:r>
              <w:rPr>
                <w:rFonts w:ascii="Times New Roman" w:hAnsi="Times New Roman"/>
                <w:b w:val="0"/>
                <w:sz w:val="24"/>
              </w:rPr>
              <w:t>44-ФЗ</w:t>
            </w:r>
          </w:p>
        </w:tc>
        <w:tc>
          <w:tcPr>
            <w:tcW w:type="dxa" w:w="2494"/>
          </w:tcPr>
          <w:p>
            <w:pPr>
              <w:spacing w:before="0" w:after="0" w:line="240" w:lineRule="auto"/>
              <w:ind w:firstLine="0"/>
              <w:jc w:val="left"/>
            </w:pPr>
            <w:r/>
            <w:r>
              <w:rPr>
                <w:rFonts w:ascii="Times New Roman" w:hAnsi="Times New Roman"/>
                <w:b w:val="0"/>
                <w:sz w:val="24"/>
              </w:rPr>
              <w:t>Обоснование начальной (максимальной) цены контракта</w:t>
            </w:r>
          </w:p>
        </w:tc>
        <w:tc>
          <w:tcPr>
            <w:tcW w:type="dxa" w:w="4195"/>
          </w:tcPr>
          <w:p>
            <w:pPr>
              <w:spacing w:before="0" w:after="0" w:line="240" w:lineRule="auto"/>
              <w:ind w:firstLine="0"/>
              <w:jc w:val="left"/>
            </w:pPr>
            <w:r/>
            <w:r>
              <w:rPr>
                <w:rFonts w:ascii="Times New Roman" w:hAnsi="Times New Roman"/>
                <w:b w:val="0"/>
                <w:sz w:val="24"/>
              </w:rPr>
              <w:t>Смета трудозатрат как приложение к техническому заданию; отдельный контракт на сопровождение</w:t>
            </w:r>
          </w:p>
        </w:tc>
      </w:tr>
      <w:tr>
        <w:tc>
          <w:tcPr>
            <w:tcW w:type="dxa" w:w="737"/>
          </w:tcPr>
          <w:p>
            <w:pPr>
              <w:spacing w:before="0" w:after="0" w:line="240" w:lineRule="auto"/>
              <w:ind w:firstLine="0"/>
              <w:jc w:val="left"/>
            </w:pPr>
            <w:r/>
            <w:r>
              <w:rPr>
                <w:rFonts w:ascii="Times New Roman" w:hAnsi="Times New Roman"/>
                <w:b w:val="0"/>
                <w:sz w:val="24"/>
              </w:rPr>
              <w:t>5</w:t>
            </w:r>
          </w:p>
        </w:tc>
        <w:tc>
          <w:tcPr>
            <w:tcW w:type="dxa" w:w="1928"/>
          </w:tcPr>
          <w:p>
            <w:pPr>
              <w:spacing w:before="0" w:after="0" w:line="240" w:lineRule="auto"/>
              <w:ind w:firstLine="0"/>
              <w:jc w:val="left"/>
            </w:pPr>
            <w:r/>
            <w:r>
              <w:rPr>
                <w:rFonts w:ascii="Times New Roman" w:hAnsi="Times New Roman"/>
                <w:b w:val="0"/>
                <w:sz w:val="24"/>
              </w:rPr>
              <w:t>Постановление Правительства РФ № 1236</w:t>
            </w:r>
          </w:p>
        </w:tc>
        <w:tc>
          <w:tcPr>
            <w:tcW w:type="dxa" w:w="2494"/>
          </w:tcPr>
          <w:p>
            <w:pPr>
              <w:spacing w:before="0" w:after="0" w:line="240" w:lineRule="auto"/>
              <w:ind w:firstLine="0"/>
              <w:jc w:val="left"/>
            </w:pPr>
            <w:r/>
            <w:r>
              <w:rPr>
                <w:rFonts w:ascii="Times New Roman" w:hAnsi="Times New Roman"/>
                <w:b w:val="0"/>
                <w:sz w:val="24"/>
              </w:rPr>
              <w:t>Запрет допуска иностранного ПО</w:t>
            </w:r>
          </w:p>
        </w:tc>
        <w:tc>
          <w:tcPr>
            <w:tcW w:type="dxa" w:w="4195"/>
          </w:tcPr>
          <w:p>
            <w:pPr>
              <w:spacing w:before="0" w:after="0" w:line="240" w:lineRule="auto"/>
              <w:ind w:firstLine="0"/>
              <w:jc w:val="left"/>
            </w:pPr>
            <w:r/>
            <w:r>
              <w:rPr>
                <w:rFonts w:ascii="Times New Roman" w:hAnsi="Times New Roman"/>
                <w:b w:val="0"/>
                <w:sz w:val="24"/>
              </w:rPr>
              <w:t>Стек на свободном ПО (Linux, PostgreSQL, Python, nginx); минимальная статья лицензий в CAPEX</w:t>
            </w:r>
          </w:p>
        </w:tc>
      </w:tr>
      <w:tr>
        <w:tc>
          <w:tcPr>
            <w:tcW w:type="dxa" w:w="737"/>
          </w:tcPr>
          <w:p>
            <w:pPr>
              <w:spacing w:before="0" w:after="0" w:line="240" w:lineRule="auto"/>
              <w:ind w:firstLine="0"/>
              <w:jc w:val="left"/>
            </w:pPr>
            <w:r/>
            <w:r>
              <w:rPr>
                <w:rFonts w:ascii="Times New Roman" w:hAnsi="Times New Roman"/>
                <w:b w:val="0"/>
                <w:sz w:val="24"/>
              </w:rPr>
              <w:t>6</w:t>
            </w:r>
          </w:p>
        </w:tc>
        <w:tc>
          <w:tcPr>
            <w:tcW w:type="dxa" w:w="1928"/>
          </w:tcPr>
          <w:p>
            <w:pPr>
              <w:spacing w:before="0" w:after="0" w:line="240" w:lineRule="auto"/>
              <w:ind w:firstLine="0"/>
              <w:jc w:val="left"/>
            </w:pPr>
            <w:r/>
            <w:r>
              <w:rPr>
                <w:rFonts w:ascii="Times New Roman" w:hAnsi="Times New Roman"/>
                <w:b w:val="0"/>
                <w:sz w:val="24"/>
              </w:rPr>
              <w:t>Приказ ФСТЭК России № 17</w:t>
            </w:r>
          </w:p>
        </w:tc>
        <w:tc>
          <w:tcPr>
            <w:tcW w:type="dxa" w:w="2494"/>
          </w:tcPr>
          <w:p>
            <w:pPr>
              <w:spacing w:before="0" w:after="0" w:line="240" w:lineRule="auto"/>
              <w:ind w:firstLine="0"/>
              <w:jc w:val="left"/>
            </w:pPr>
            <w:r/>
            <w:r>
              <w:rPr>
                <w:rFonts w:ascii="Times New Roman" w:hAnsi="Times New Roman"/>
                <w:b w:val="0"/>
                <w:sz w:val="24"/>
              </w:rPr>
              <w:t>Классификация и аттестация государственной информационной системы</w:t>
            </w:r>
          </w:p>
        </w:tc>
        <w:tc>
          <w:tcPr>
            <w:tcW w:type="dxa" w:w="4195"/>
          </w:tcPr>
          <w:p>
            <w:pPr>
              <w:spacing w:before="0" w:after="0" w:line="240" w:lineRule="auto"/>
              <w:ind w:firstLine="0"/>
              <w:jc w:val="left"/>
            </w:pPr>
            <w:r/>
            <w:r>
              <w:rPr>
                <w:rFonts w:ascii="Times New Roman" w:hAnsi="Times New Roman"/>
                <w:b w:val="0"/>
                <w:sz w:val="24"/>
              </w:rPr>
              <w:t>Учтено в резервном фонде и в перечне рисков проекта</w:t>
            </w:r>
          </w:p>
        </w:tc>
      </w:tr>
      <w:tr>
        <w:tc>
          <w:tcPr>
            <w:tcW w:type="dxa" w:w="737"/>
          </w:tcPr>
          <w:p>
            <w:pPr>
              <w:spacing w:before="0" w:after="0" w:line="240" w:lineRule="auto"/>
              <w:ind w:firstLine="0"/>
              <w:jc w:val="left"/>
            </w:pPr>
            <w:r/>
            <w:r>
              <w:rPr>
                <w:rFonts w:ascii="Times New Roman" w:hAnsi="Times New Roman"/>
                <w:b w:val="0"/>
                <w:sz w:val="24"/>
              </w:rPr>
              <w:t>7</w:t>
            </w:r>
          </w:p>
        </w:tc>
        <w:tc>
          <w:tcPr>
            <w:tcW w:type="dxa" w:w="1928"/>
          </w:tcPr>
          <w:p>
            <w:pPr>
              <w:spacing w:before="0" w:after="0" w:line="240" w:lineRule="auto"/>
              <w:ind w:firstLine="0"/>
              <w:jc w:val="left"/>
            </w:pPr>
            <w:r/>
            <w:r>
              <w:rPr>
                <w:rFonts w:ascii="Times New Roman" w:hAnsi="Times New Roman"/>
                <w:b w:val="0"/>
                <w:sz w:val="24"/>
              </w:rPr>
              <w:t>ГОСТ 34.601-90, ГОСТ Р 59795-2021</w:t>
            </w:r>
          </w:p>
        </w:tc>
        <w:tc>
          <w:tcPr>
            <w:tcW w:type="dxa" w:w="2494"/>
          </w:tcPr>
          <w:p>
            <w:pPr>
              <w:spacing w:before="0" w:after="0" w:line="240" w:lineRule="auto"/>
              <w:ind w:firstLine="0"/>
              <w:jc w:val="left"/>
            </w:pPr>
            <w:r/>
            <w:r>
              <w:rPr>
                <w:rFonts w:ascii="Times New Roman" w:hAnsi="Times New Roman"/>
                <w:b w:val="0"/>
                <w:sz w:val="24"/>
              </w:rPr>
              <w:t>Стадии создания и состав документации автоматизированной системы</w:t>
            </w:r>
          </w:p>
        </w:tc>
        <w:tc>
          <w:tcPr>
            <w:tcW w:type="dxa" w:w="4195"/>
          </w:tcPr>
          <w:p>
            <w:pPr>
              <w:spacing w:before="0" w:after="0" w:line="240" w:lineRule="auto"/>
              <w:ind w:firstLine="0"/>
              <w:jc w:val="left"/>
            </w:pPr>
            <w:r/>
            <w:r>
              <w:rPr>
                <w:rFonts w:ascii="Times New Roman" w:hAnsi="Times New Roman"/>
                <w:b w:val="0"/>
                <w:sz w:val="24"/>
              </w:rPr>
              <w:t>Этапы сметы трудозатрат соответствуют стадиям стандарта</w:t>
            </w:r>
          </w:p>
        </w:tc>
      </w:tr>
      <w:tr>
        <w:tc>
          <w:tcPr>
            <w:tcW w:type="dxa" w:w="737"/>
          </w:tcPr>
          <w:p>
            <w:pPr>
              <w:spacing w:before="0" w:after="0" w:line="240" w:lineRule="auto"/>
              <w:ind w:firstLine="0"/>
              <w:jc w:val="left"/>
            </w:pPr>
            <w:r/>
            <w:r>
              <w:rPr>
                <w:rFonts w:ascii="Times New Roman" w:hAnsi="Times New Roman"/>
                <w:b w:val="0"/>
                <w:sz w:val="24"/>
              </w:rPr>
              <w:t>8</w:t>
            </w:r>
          </w:p>
        </w:tc>
        <w:tc>
          <w:tcPr>
            <w:tcW w:type="dxa" w:w="1928"/>
          </w:tcPr>
          <w:p>
            <w:pPr>
              <w:spacing w:before="0" w:after="0" w:line="240" w:lineRule="auto"/>
              <w:ind w:firstLine="0"/>
              <w:jc w:val="left"/>
            </w:pPr>
            <w:r/>
            <w:r>
              <w:rPr>
                <w:rFonts w:ascii="Times New Roman" w:hAnsi="Times New Roman"/>
                <w:b w:val="0"/>
                <w:sz w:val="24"/>
              </w:rPr>
              <w:t>497-ПП, 99-ПП (Москва)</w:t>
            </w:r>
          </w:p>
        </w:tc>
        <w:tc>
          <w:tcPr>
            <w:tcW w:type="dxa" w:w="2494"/>
          </w:tcPr>
          <w:p>
            <w:pPr>
              <w:spacing w:before="0" w:after="0" w:line="240" w:lineRule="auto"/>
              <w:ind w:firstLine="0"/>
              <w:jc w:val="left"/>
            </w:pPr>
            <w:r/>
            <w:r>
              <w:rPr>
                <w:rFonts w:ascii="Times New Roman" w:hAnsi="Times New Roman"/>
                <w:b w:val="0"/>
                <w:sz w:val="24"/>
              </w:rPr>
              <w:t>Полномочия заказчика по реализации жилых помещений</w:t>
            </w:r>
          </w:p>
        </w:tc>
        <w:tc>
          <w:tcPr>
            <w:tcW w:type="dxa" w:w="4195"/>
          </w:tcPr>
          <w:p>
            <w:pPr>
              <w:spacing w:before="0" w:after="0" w:line="240" w:lineRule="auto"/>
              <w:ind w:firstLine="0"/>
              <w:jc w:val="left"/>
            </w:pPr>
            <w:r/>
            <w:r>
              <w:rPr>
                <w:rFonts w:ascii="Times New Roman" w:hAnsi="Times New Roman"/>
                <w:b w:val="0"/>
                <w:sz w:val="24"/>
              </w:rPr>
              <w:t>Определяет состав пользователей и источник данных системы</w:t>
            </w:r>
          </w:p>
        </w:tc>
      </w:tr>
    </w:tbl>
    <w:p>
      <w:pPr>
        <w:spacing w:before="0" w:after="0" w:line="360" w:lineRule="auto"/>
        <w:ind w:firstLine="0"/>
      </w:pPr>
    </w:p>
    <w:p>
      <w:pPr>
        <w:spacing w:before="0" w:after="0" w:line="360" w:lineRule="auto"/>
        <w:ind w:firstLine="709"/>
        <w:jc w:val="both"/>
      </w:pPr>
      <w:r>
        <w:rPr>
          <w:b w:val="0"/>
        </w:rPr>
        <w:t>Вывод по подразделу. Правовое поле проекта сложное, но определённое: оно не ограничивает функциональность продукта, однако жёстко задаёт технологический стек (свободное и отечественное программное обеспечение), состав работ и документации (ГОСТ 34.601-90), порядок финансирования (44-ФЗ) и требования к защите данных (152-ФЗ, приказ ФСТЭК № 17). Экономическое следствие для расчётов двойственное: с одной стороны, отсутствие лицензионных платежей снижает капитальные затраты; с другой — необходимость аттестации государственной информационной системы создаёт риск, требующий резервирования средств.</w:t>
      </w:r>
    </w:p>
    <w:p>
      <w:pPr>
        <w:pStyle w:val="Heading2"/>
        <w:spacing w:before="0" w:after="0" w:line="360" w:lineRule="auto"/>
        <w:ind w:firstLine="709"/>
        <w:jc w:val="left"/>
      </w:pPr>
      <w:r>
        <w:rPr>
          <w:b/>
        </w:rPr>
        <w:t>1.3 Анализ современных российских и западных программных продуктов мониторинга рынка недвижимости</w:t>
      </w:r>
    </w:p>
    <w:p>
      <w:pPr>
        <w:spacing w:before="0" w:after="0" w:line="360" w:lineRule="auto"/>
        <w:ind w:firstLine="709"/>
        <w:jc w:val="both"/>
      </w:pPr>
      <w:r>
        <w:rPr>
          <w:b w:val="0"/>
        </w:rPr>
        <w:t>Для обоснования функциональной ниши разрабатываемого продукта необходимо рассмотреть существующие решения. Российский и западный рынки представлены четырьмя группами игроков.</w:t>
      </w:r>
    </w:p>
    <w:p>
      <w:pPr>
        <w:spacing w:before="0" w:after="0" w:line="360" w:lineRule="auto"/>
        <w:ind w:firstLine="709"/>
        <w:jc w:val="both"/>
      </w:pPr>
      <w:r>
        <w:rPr>
          <w:b w:val="0"/>
        </w:rPr>
        <w:t>Первая группа — классифайды и крупные порталы объявлений. В России это ЦИАН, Авито Недвижимость, Яндекс Недвижимость, а также сервис Домклик, развиваемый Сбербанком и объединяющий поиск жилья с оформлением ипотеки [19, 20, 21]. Сильная сторона этой группы — максимальный охват предложения и массовая аудитория. Слабая сторона с точки зрения задач исследования принципиальна: объявление живёт до момента продажи и затем исчезает вместе со своей ценовой историей, а объекты, реализуемые городом, в этих системах либо отсутствуют, либо представлены разрозненными объявлениями посредников без привязки к корпусу и без сведений о резерве.</w:t>
      </w:r>
    </w:p>
    <w:p>
      <w:pPr>
        <w:spacing w:before="0" w:after="0" w:line="360" w:lineRule="auto"/>
        <w:ind w:firstLine="709"/>
        <w:jc w:val="both"/>
      </w:pPr>
      <w:r>
        <w:rPr>
          <w:b w:val="0"/>
        </w:rPr>
        <w:t>Вторая группа — профессиональные аналитические платформы: ЦИАН Аналитика, DataFlat.ru, bnMAP.pro, специализирующиеся на аналитике первичного рынка новостроек для застройщиков, банков и консультантов [22, 23]. Эти продукты дают то, чего нет у классифайдов, — динамику цен, темпы продаж, структуру спроса. Их ограничения: высокая стоимость подписки на рабочее место, ориентация на новостройки коммерческих застройщиков и агрегированный характер данных — аналитика ведётся на уровне проекта или корпуса, а не отдельного лота, что не позволяет отследить снятие скидки с конкретной квартиры. Западные представители группы — CoStar и HouseCanary — работают по той же модели на других рынках [25].</w:t>
      </w:r>
    </w:p>
    <w:p>
      <w:pPr>
        <w:spacing w:before="0" w:after="0" w:line="360" w:lineRule="auto"/>
        <w:ind w:firstLine="709"/>
        <w:jc w:val="both"/>
      </w:pPr>
      <w:r>
        <w:rPr>
          <w:b w:val="0"/>
        </w:rPr>
        <w:t>Третья группа — сервисы автоматизированной оценки и мониторинга цен. Платформа Zillow с алгоритмом Zestimate и сервис Redfin в США хранят историю сделок и цен по каждому адресу и строят на ней оценочные модели [24, 25]. Эта группа методически ближе всего к задаче: она подтверждает, что версионное хранение ценовой истории по объекту само по себе является ценностью. Однако прямой перенос решений невозможен: в США источником служат открытые данные о состоявшихся сделках, тогда как в России сведения о цене сделки из Единого государственного реестра недвижимости в открытом доступе отсутствуют, и единственным доступным источником остаётся цена предложения.</w:t>
      </w:r>
    </w:p>
    <w:p>
      <w:pPr>
        <w:spacing w:before="0" w:after="0" w:line="360" w:lineRule="auto"/>
        <w:ind w:firstLine="709"/>
        <w:jc w:val="both"/>
      </w:pPr>
      <w:r>
        <w:rPr>
          <w:b w:val="0"/>
        </w:rPr>
        <w:t>Четвёртая группа — государственные информационные системы: «Наш.Дом.РФ» ведёт учёт объектов долевого строительства и публикует статистику по рынку [18], портал «Москварталы» служит витриной продаж квартир города [16], инвестиционный портал города Москвы обеспечивает проведение аукционов [17]. Эти системы авторитетны как источники, но выполняют учётные и витринные функции: они показывают текущее состояние и не предназначены для анализа динамики предложения. Сравнительный анализ рассмотренных решений приведён в таблице 1.3.</w:t>
      </w:r>
    </w:p>
    <w:p>
      <w:pPr>
        <w:spacing w:before="120" w:after="0" w:line="240" w:lineRule="auto"/>
        <w:ind w:firstLine="0"/>
        <w:jc w:val="left"/>
      </w:pPr>
      <w:r>
        <w:rPr>
          <w:b w:val="0"/>
        </w:rPr>
        <w:t>Таблица 1.3 – Сравнительный анализ программных продуктов мониторинга рынка жилой недвижимости</w:t>
      </w:r>
    </w:p>
    <w:tbl>
      <w:tblPr>
        <w:tblStyle w:val="TableGrid"/>
        <w:tblW w:type="auto" w:w="0"/>
        <w:jc w:val="center"/>
        <w:tblLayout w:type="autofit"/>
        <w:tblLook w:firstColumn="1" w:firstRow="1" w:lastColumn="0" w:lastRow="0" w:noHBand="0" w:noVBand="1" w:val="04A0"/>
      </w:tblPr>
      <w:tblGrid>
        <w:gridCol w:w="1559"/>
        <w:gridCol w:w="1559"/>
        <w:gridCol w:w="1559"/>
        <w:gridCol w:w="1559"/>
        <w:gridCol w:w="1559"/>
        <w:gridCol w:w="1559"/>
      </w:tblGrid>
      <w:tr>
        <w:tc>
          <w:tcPr>
            <w:tcW w:type="dxa" w:w="1587"/>
          </w:tcPr>
          <w:p>
            <w:pPr>
              <w:spacing w:before="0" w:after="0" w:line="240" w:lineRule="auto"/>
              <w:ind w:firstLine="0"/>
              <w:jc w:val="center"/>
            </w:pPr>
            <w:r/>
            <w:r>
              <w:rPr>
                <w:rFonts w:ascii="Times New Roman" w:hAnsi="Times New Roman"/>
                <w:b/>
                <w:sz w:val="24"/>
              </w:rPr>
              <w:t>Продукт</w:t>
            </w:r>
          </w:p>
        </w:tc>
        <w:tc>
          <w:tcPr>
            <w:tcW w:type="dxa" w:w="1247"/>
          </w:tcPr>
          <w:p>
            <w:pPr>
              <w:spacing w:before="0" w:after="0" w:line="240" w:lineRule="auto"/>
              <w:ind w:firstLine="0"/>
              <w:jc w:val="center"/>
            </w:pPr>
            <w:r/>
            <w:r>
              <w:rPr>
                <w:rFonts w:ascii="Times New Roman" w:hAnsi="Times New Roman"/>
                <w:b/>
                <w:sz w:val="24"/>
              </w:rPr>
              <w:t>Аудитория</w:t>
            </w:r>
          </w:p>
        </w:tc>
        <w:tc>
          <w:tcPr>
            <w:tcW w:type="dxa" w:w="1247"/>
          </w:tcPr>
          <w:p>
            <w:pPr>
              <w:spacing w:before="0" w:after="0" w:line="240" w:lineRule="auto"/>
              <w:ind w:firstLine="0"/>
              <w:jc w:val="center"/>
            </w:pPr>
            <w:r/>
            <w:r>
              <w:rPr>
                <w:rFonts w:ascii="Times New Roman" w:hAnsi="Times New Roman"/>
                <w:b/>
                <w:sz w:val="24"/>
              </w:rPr>
              <w:t>Объект наблюдения</w:t>
            </w:r>
          </w:p>
        </w:tc>
        <w:tc>
          <w:tcPr>
            <w:tcW w:type="dxa" w:w="1984"/>
          </w:tcPr>
          <w:p>
            <w:pPr>
              <w:spacing w:before="0" w:after="0" w:line="240" w:lineRule="auto"/>
              <w:ind w:firstLine="0"/>
              <w:jc w:val="center"/>
            </w:pPr>
            <w:r/>
            <w:r>
              <w:rPr>
                <w:rFonts w:ascii="Times New Roman" w:hAnsi="Times New Roman"/>
                <w:b/>
                <w:sz w:val="24"/>
              </w:rPr>
              <w:t>Фиксация истории цен, скидок и резерва по лоту</w:t>
            </w:r>
          </w:p>
        </w:tc>
        <w:tc>
          <w:tcPr>
            <w:tcW w:type="dxa" w:w="1701"/>
          </w:tcPr>
          <w:p>
            <w:pPr>
              <w:spacing w:before="0" w:after="0" w:line="240" w:lineRule="auto"/>
              <w:ind w:firstLine="0"/>
              <w:jc w:val="center"/>
            </w:pPr>
            <w:r/>
            <w:r>
              <w:rPr>
                <w:rFonts w:ascii="Times New Roman" w:hAnsi="Times New Roman"/>
                <w:b/>
                <w:sz w:val="24"/>
              </w:rPr>
              <w:t>Ипотечный расчёт, выгрузка и API</w:t>
            </w:r>
          </w:p>
        </w:tc>
        <w:tc>
          <w:tcPr>
            <w:tcW w:type="dxa" w:w="1587"/>
          </w:tcPr>
          <w:p>
            <w:pPr>
              <w:spacing w:before="0" w:after="0" w:line="240" w:lineRule="auto"/>
              <w:ind w:firstLine="0"/>
              <w:jc w:val="center"/>
            </w:pPr>
            <w:r/>
            <w:r>
              <w:rPr>
                <w:rFonts w:ascii="Times New Roman" w:hAnsi="Times New Roman"/>
                <w:b/>
                <w:sz w:val="24"/>
              </w:rPr>
              <w:t>Стоимость для пользователя</w:t>
            </w:r>
          </w:p>
        </w:tc>
      </w:tr>
      <w:tr>
        <w:tc>
          <w:tcPr>
            <w:tcW w:type="dxa" w:w="1587"/>
          </w:tcPr>
          <w:p>
            <w:pPr>
              <w:spacing w:before="0" w:after="0" w:line="240" w:lineRule="auto"/>
              <w:ind w:firstLine="0"/>
              <w:jc w:val="left"/>
            </w:pPr>
            <w:r/>
            <w:r>
              <w:rPr>
                <w:rFonts w:ascii="Times New Roman" w:hAnsi="Times New Roman"/>
                <w:b w:val="0"/>
                <w:sz w:val="24"/>
              </w:rPr>
              <w:t>ЦИАН, Авито, Яндекс Недвижимость</w:t>
            </w:r>
          </w:p>
        </w:tc>
        <w:tc>
          <w:tcPr>
            <w:tcW w:type="dxa" w:w="1247"/>
          </w:tcPr>
          <w:p>
            <w:pPr>
              <w:spacing w:before="0" w:after="0" w:line="240" w:lineRule="auto"/>
              <w:ind w:firstLine="0"/>
              <w:jc w:val="left"/>
            </w:pPr>
            <w:r/>
            <w:r>
              <w:rPr>
                <w:rFonts w:ascii="Times New Roman" w:hAnsi="Times New Roman"/>
                <w:b w:val="0"/>
                <w:sz w:val="24"/>
              </w:rPr>
              <w:t>B2C, риелторы</w:t>
            </w:r>
          </w:p>
        </w:tc>
        <w:tc>
          <w:tcPr>
            <w:tcW w:type="dxa" w:w="1247"/>
          </w:tcPr>
          <w:p>
            <w:pPr>
              <w:spacing w:before="0" w:after="0" w:line="240" w:lineRule="auto"/>
              <w:ind w:firstLine="0"/>
              <w:jc w:val="left"/>
            </w:pPr>
            <w:r/>
            <w:r>
              <w:rPr>
                <w:rFonts w:ascii="Times New Roman" w:hAnsi="Times New Roman"/>
                <w:b w:val="0"/>
                <w:sz w:val="24"/>
              </w:rPr>
              <w:t>Объявление</w:t>
            </w:r>
          </w:p>
        </w:tc>
        <w:tc>
          <w:tcPr>
            <w:tcW w:type="dxa" w:w="1984"/>
          </w:tcPr>
          <w:p>
            <w:pPr>
              <w:spacing w:before="0" w:after="0" w:line="240" w:lineRule="auto"/>
              <w:ind w:firstLine="0"/>
              <w:jc w:val="left"/>
            </w:pPr>
            <w:r/>
            <w:r>
              <w:rPr>
                <w:rFonts w:ascii="Times New Roman" w:hAnsi="Times New Roman"/>
                <w:b w:val="0"/>
                <w:sz w:val="24"/>
              </w:rPr>
              <w:t>Нет: история исчезает вместе с объявлением</w:t>
            </w:r>
          </w:p>
        </w:tc>
        <w:tc>
          <w:tcPr>
            <w:tcW w:type="dxa" w:w="1701"/>
          </w:tcPr>
          <w:p>
            <w:pPr>
              <w:spacing w:before="0" w:after="0" w:line="240" w:lineRule="auto"/>
              <w:ind w:firstLine="0"/>
              <w:jc w:val="left"/>
            </w:pPr>
            <w:r/>
            <w:r>
              <w:rPr>
                <w:rFonts w:ascii="Times New Roman" w:hAnsi="Times New Roman"/>
                <w:b w:val="0"/>
                <w:sz w:val="24"/>
              </w:rPr>
              <w:t>Калькулятор общего вида; выгрузка ограниченна</w:t>
            </w:r>
          </w:p>
        </w:tc>
        <w:tc>
          <w:tcPr>
            <w:tcW w:type="dxa" w:w="1587"/>
          </w:tcPr>
          <w:p>
            <w:pPr>
              <w:spacing w:before="0" w:after="0" w:line="240" w:lineRule="auto"/>
              <w:ind w:firstLine="0"/>
              <w:jc w:val="left"/>
            </w:pPr>
            <w:r/>
            <w:r>
              <w:rPr>
                <w:rFonts w:ascii="Times New Roman" w:hAnsi="Times New Roman"/>
                <w:b w:val="0"/>
                <w:sz w:val="24"/>
              </w:rPr>
              <w:t>Бесплатно, платное размещение</w:t>
            </w:r>
          </w:p>
        </w:tc>
      </w:tr>
      <w:tr>
        <w:tc>
          <w:tcPr>
            <w:tcW w:type="dxa" w:w="1587"/>
          </w:tcPr>
          <w:p>
            <w:pPr>
              <w:spacing w:before="0" w:after="0" w:line="240" w:lineRule="auto"/>
              <w:ind w:firstLine="0"/>
              <w:jc w:val="left"/>
            </w:pPr>
            <w:r/>
            <w:r>
              <w:rPr>
                <w:rFonts w:ascii="Times New Roman" w:hAnsi="Times New Roman"/>
                <w:b w:val="0"/>
                <w:sz w:val="24"/>
              </w:rPr>
              <w:t>Домклик</w:t>
            </w:r>
          </w:p>
        </w:tc>
        <w:tc>
          <w:tcPr>
            <w:tcW w:type="dxa" w:w="1247"/>
          </w:tcPr>
          <w:p>
            <w:pPr>
              <w:spacing w:before="0" w:after="0" w:line="240" w:lineRule="auto"/>
              <w:ind w:firstLine="0"/>
              <w:jc w:val="left"/>
            </w:pPr>
            <w:r/>
            <w:r>
              <w:rPr>
                <w:rFonts w:ascii="Times New Roman" w:hAnsi="Times New Roman"/>
                <w:b w:val="0"/>
                <w:sz w:val="24"/>
              </w:rPr>
              <w:t>B2C</w:t>
            </w:r>
          </w:p>
        </w:tc>
        <w:tc>
          <w:tcPr>
            <w:tcW w:type="dxa" w:w="1247"/>
          </w:tcPr>
          <w:p>
            <w:pPr>
              <w:spacing w:before="0" w:after="0" w:line="240" w:lineRule="auto"/>
              <w:ind w:firstLine="0"/>
              <w:jc w:val="left"/>
            </w:pPr>
            <w:r/>
            <w:r>
              <w:rPr>
                <w:rFonts w:ascii="Times New Roman" w:hAnsi="Times New Roman"/>
                <w:b w:val="0"/>
                <w:sz w:val="24"/>
              </w:rPr>
              <w:t>Объявление и заявка на ипотеку</w:t>
            </w:r>
          </w:p>
        </w:tc>
        <w:tc>
          <w:tcPr>
            <w:tcW w:type="dxa" w:w="1984"/>
          </w:tcPr>
          <w:p>
            <w:pPr>
              <w:spacing w:before="0" w:after="0" w:line="240" w:lineRule="auto"/>
              <w:ind w:firstLine="0"/>
              <w:jc w:val="left"/>
            </w:pPr>
            <w:r/>
            <w:r>
              <w:rPr>
                <w:rFonts w:ascii="Times New Roman" w:hAnsi="Times New Roman"/>
                <w:b w:val="0"/>
                <w:sz w:val="24"/>
              </w:rPr>
              <w:t>Нет</w:t>
            </w:r>
          </w:p>
        </w:tc>
        <w:tc>
          <w:tcPr>
            <w:tcW w:type="dxa" w:w="1701"/>
          </w:tcPr>
          <w:p>
            <w:pPr>
              <w:spacing w:before="0" w:after="0" w:line="240" w:lineRule="auto"/>
              <w:ind w:firstLine="0"/>
              <w:jc w:val="left"/>
            </w:pPr>
            <w:r/>
            <w:r>
              <w:rPr>
                <w:rFonts w:ascii="Times New Roman" w:hAnsi="Times New Roman"/>
                <w:b w:val="0"/>
                <w:sz w:val="24"/>
              </w:rPr>
              <w:t>Да, по программам банка; выгрузки нет</w:t>
            </w:r>
          </w:p>
        </w:tc>
        <w:tc>
          <w:tcPr>
            <w:tcW w:type="dxa" w:w="1587"/>
          </w:tcPr>
          <w:p>
            <w:pPr>
              <w:spacing w:before="0" w:after="0" w:line="240" w:lineRule="auto"/>
              <w:ind w:firstLine="0"/>
              <w:jc w:val="left"/>
            </w:pPr>
            <w:r/>
            <w:r>
              <w:rPr>
                <w:rFonts w:ascii="Times New Roman" w:hAnsi="Times New Roman"/>
                <w:b w:val="0"/>
                <w:sz w:val="24"/>
              </w:rPr>
              <w:t>Бесплатно</w:t>
            </w:r>
          </w:p>
        </w:tc>
      </w:tr>
      <w:tr>
        <w:tc>
          <w:tcPr>
            <w:tcW w:type="dxa" w:w="1587"/>
          </w:tcPr>
          <w:p>
            <w:pPr>
              <w:spacing w:before="0" w:after="0" w:line="240" w:lineRule="auto"/>
              <w:ind w:firstLine="0"/>
              <w:jc w:val="left"/>
            </w:pPr>
            <w:r/>
            <w:r>
              <w:rPr>
                <w:rFonts w:ascii="Times New Roman" w:hAnsi="Times New Roman"/>
                <w:b w:val="0"/>
                <w:sz w:val="24"/>
              </w:rPr>
              <w:t>ЦИАН Аналитика, DataFlat.ru, bnMAP.pro</w:t>
            </w:r>
          </w:p>
        </w:tc>
        <w:tc>
          <w:tcPr>
            <w:tcW w:type="dxa" w:w="1247"/>
          </w:tcPr>
          <w:p>
            <w:pPr>
              <w:spacing w:before="0" w:after="0" w:line="240" w:lineRule="auto"/>
              <w:ind w:firstLine="0"/>
              <w:jc w:val="left"/>
            </w:pPr>
            <w:r/>
            <w:r>
              <w:rPr>
                <w:rFonts w:ascii="Times New Roman" w:hAnsi="Times New Roman"/>
                <w:b w:val="0"/>
                <w:sz w:val="24"/>
              </w:rPr>
              <w:t>B2B: застройщики, банки</w:t>
            </w:r>
          </w:p>
        </w:tc>
        <w:tc>
          <w:tcPr>
            <w:tcW w:type="dxa" w:w="1247"/>
          </w:tcPr>
          <w:p>
            <w:pPr>
              <w:spacing w:before="0" w:after="0" w:line="240" w:lineRule="auto"/>
              <w:ind w:firstLine="0"/>
              <w:jc w:val="left"/>
            </w:pPr>
            <w:r/>
            <w:r>
              <w:rPr>
                <w:rFonts w:ascii="Times New Roman" w:hAnsi="Times New Roman"/>
                <w:b w:val="0"/>
                <w:sz w:val="24"/>
              </w:rPr>
              <w:t>Проект, корпус</w:t>
            </w:r>
          </w:p>
        </w:tc>
        <w:tc>
          <w:tcPr>
            <w:tcW w:type="dxa" w:w="1984"/>
          </w:tcPr>
          <w:p>
            <w:pPr>
              <w:spacing w:before="0" w:after="0" w:line="240" w:lineRule="auto"/>
              <w:ind w:firstLine="0"/>
              <w:jc w:val="left"/>
            </w:pPr>
            <w:r/>
            <w:r>
              <w:rPr>
                <w:rFonts w:ascii="Times New Roman" w:hAnsi="Times New Roman"/>
                <w:b w:val="0"/>
                <w:sz w:val="24"/>
              </w:rPr>
              <w:t>Агрегированно по проекту, без отдельного лота</w:t>
            </w:r>
          </w:p>
        </w:tc>
        <w:tc>
          <w:tcPr>
            <w:tcW w:type="dxa" w:w="1701"/>
          </w:tcPr>
          <w:p>
            <w:pPr>
              <w:spacing w:before="0" w:after="0" w:line="240" w:lineRule="auto"/>
              <w:ind w:firstLine="0"/>
              <w:jc w:val="left"/>
            </w:pPr>
            <w:r/>
            <w:r>
              <w:rPr>
                <w:rFonts w:ascii="Times New Roman" w:hAnsi="Times New Roman"/>
                <w:b w:val="0"/>
                <w:sz w:val="24"/>
              </w:rPr>
              <w:t>Ипотеки нет; выгрузка и API есть</w:t>
            </w:r>
          </w:p>
        </w:tc>
        <w:tc>
          <w:tcPr>
            <w:tcW w:type="dxa" w:w="1587"/>
          </w:tcPr>
          <w:p>
            <w:pPr>
              <w:spacing w:before="0" w:after="0" w:line="240" w:lineRule="auto"/>
              <w:ind w:firstLine="0"/>
              <w:jc w:val="left"/>
            </w:pPr>
            <w:r/>
            <w:r>
              <w:rPr>
                <w:rFonts w:ascii="Times New Roman" w:hAnsi="Times New Roman"/>
                <w:b w:val="0"/>
                <w:sz w:val="24"/>
              </w:rPr>
              <w:t>Подписка 150–250 тыс. руб. в год за рабочее место</w:t>
            </w:r>
          </w:p>
        </w:tc>
      </w:tr>
      <w:tr>
        <w:tc>
          <w:tcPr>
            <w:tcW w:type="dxa" w:w="1587"/>
          </w:tcPr>
          <w:p>
            <w:pPr>
              <w:spacing w:before="0" w:after="0" w:line="240" w:lineRule="auto"/>
              <w:ind w:firstLine="0"/>
              <w:jc w:val="left"/>
            </w:pPr>
            <w:r/>
            <w:r>
              <w:rPr>
                <w:rFonts w:ascii="Times New Roman" w:hAnsi="Times New Roman"/>
                <w:b w:val="0"/>
                <w:sz w:val="24"/>
              </w:rPr>
              <w:t>Zillow, Redfin, CoStar</w:t>
            </w:r>
          </w:p>
        </w:tc>
        <w:tc>
          <w:tcPr>
            <w:tcW w:type="dxa" w:w="1247"/>
          </w:tcPr>
          <w:p>
            <w:pPr>
              <w:spacing w:before="0" w:after="0" w:line="240" w:lineRule="auto"/>
              <w:ind w:firstLine="0"/>
              <w:jc w:val="left"/>
            </w:pPr>
            <w:r/>
            <w:r>
              <w:rPr>
                <w:rFonts w:ascii="Times New Roman" w:hAnsi="Times New Roman"/>
                <w:b w:val="0"/>
                <w:sz w:val="24"/>
              </w:rPr>
              <w:t>B2C и B2B (США)</w:t>
            </w:r>
          </w:p>
        </w:tc>
        <w:tc>
          <w:tcPr>
            <w:tcW w:type="dxa" w:w="1247"/>
          </w:tcPr>
          <w:p>
            <w:pPr>
              <w:spacing w:before="0" w:after="0" w:line="240" w:lineRule="auto"/>
              <w:ind w:firstLine="0"/>
              <w:jc w:val="left"/>
            </w:pPr>
            <w:r/>
            <w:r>
              <w:rPr>
                <w:rFonts w:ascii="Times New Roman" w:hAnsi="Times New Roman"/>
                <w:b w:val="0"/>
                <w:sz w:val="24"/>
              </w:rPr>
              <w:t>Адрес, сделка</w:t>
            </w:r>
          </w:p>
        </w:tc>
        <w:tc>
          <w:tcPr>
            <w:tcW w:type="dxa" w:w="1984"/>
          </w:tcPr>
          <w:p>
            <w:pPr>
              <w:spacing w:before="0" w:after="0" w:line="240" w:lineRule="auto"/>
              <w:ind w:firstLine="0"/>
              <w:jc w:val="left"/>
            </w:pPr>
            <w:r/>
            <w:r>
              <w:rPr>
                <w:rFonts w:ascii="Times New Roman" w:hAnsi="Times New Roman"/>
                <w:b w:val="0"/>
                <w:sz w:val="24"/>
              </w:rPr>
              <w:t>Да, по истории сделок (иная модель рынка)</w:t>
            </w:r>
          </w:p>
        </w:tc>
        <w:tc>
          <w:tcPr>
            <w:tcW w:type="dxa" w:w="1701"/>
          </w:tcPr>
          <w:p>
            <w:pPr>
              <w:spacing w:before="0" w:after="0" w:line="240" w:lineRule="auto"/>
              <w:ind w:firstLine="0"/>
              <w:jc w:val="left"/>
            </w:pPr>
            <w:r/>
            <w:r>
              <w:rPr>
                <w:rFonts w:ascii="Times New Roman" w:hAnsi="Times New Roman"/>
                <w:b w:val="0"/>
                <w:sz w:val="24"/>
              </w:rPr>
              <w:t>Да; API есть</w:t>
            </w:r>
          </w:p>
        </w:tc>
        <w:tc>
          <w:tcPr>
            <w:tcW w:type="dxa" w:w="1587"/>
          </w:tcPr>
          <w:p>
            <w:pPr>
              <w:spacing w:before="0" w:after="0" w:line="240" w:lineRule="auto"/>
              <w:ind w:firstLine="0"/>
              <w:jc w:val="left"/>
            </w:pPr>
            <w:r/>
            <w:r>
              <w:rPr>
                <w:rFonts w:ascii="Times New Roman" w:hAnsi="Times New Roman"/>
                <w:b w:val="0"/>
                <w:sz w:val="24"/>
              </w:rPr>
              <w:t>Бесплатно или подписка</w:t>
            </w:r>
          </w:p>
        </w:tc>
      </w:tr>
      <w:tr>
        <w:tc>
          <w:tcPr>
            <w:tcW w:type="dxa" w:w="1587"/>
          </w:tcPr>
          <w:p>
            <w:pPr>
              <w:spacing w:before="0" w:after="0" w:line="240" w:lineRule="auto"/>
              <w:ind w:firstLine="0"/>
              <w:jc w:val="left"/>
            </w:pPr>
            <w:r/>
            <w:r>
              <w:rPr>
                <w:rFonts w:ascii="Times New Roman" w:hAnsi="Times New Roman"/>
                <w:b w:val="0"/>
                <w:sz w:val="24"/>
              </w:rPr>
              <w:t>«Наш.Дом.РФ», «Москварталы», инвестиционный портал Москвы</w:t>
            </w:r>
          </w:p>
        </w:tc>
        <w:tc>
          <w:tcPr>
            <w:tcW w:type="dxa" w:w="1247"/>
          </w:tcPr>
          <w:p>
            <w:pPr>
              <w:spacing w:before="0" w:after="0" w:line="240" w:lineRule="auto"/>
              <w:ind w:firstLine="0"/>
              <w:jc w:val="left"/>
            </w:pPr>
            <w:r/>
            <w:r>
              <w:rPr>
                <w:rFonts w:ascii="Times New Roman" w:hAnsi="Times New Roman"/>
                <w:b w:val="0"/>
                <w:sz w:val="24"/>
              </w:rPr>
              <w:t>Граждане, органы власти</w:t>
            </w:r>
          </w:p>
        </w:tc>
        <w:tc>
          <w:tcPr>
            <w:tcW w:type="dxa" w:w="1247"/>
          </w:tcPr>
          <w:p>
            <w:pPr>
              <w:spacing w:before="0" w:after="0" w:line="240" w:lineRule="auto"/>
              <w:ind w:firstLine="0"/>
              <w:jc w:val="left"/>
            </w:pPr>
            <w:r/>
            <w:r>
              <w:rPr>
                <w:rFonts w:ascii="Times New Roman" w:hAnsi="Times New Roman"/>
                <w:b w:val="0"/>
                <w:sz w:val="24"/>
              </w:rPr>
              <w:t>Объект, лот</w:t>
            </w:r>
          </w:p>
        </w:tc>
        <w:tc>
          <w:tcPr>
            <w:tcW w:type="dxa" w:w="1984"/>
          </w:tcPr>
          <w:p>
            <w:pPr>
              <w:spacing w:before="0" w:after="0" w:line="240" w:lineRule="auto"/>
              <w:ind w:firstLine="0"/>
              <w:jc w:val="left"/>
            </w:pPr>
            <w:r/>
            <w:r>
              <w:rPr>
                <w:rFonts w:ascii="Times New Roman" w:hAnsi="Times New Roman"/>
                <w:b w:val="0"/>
                <w:sz w:val="24"/>
              </w:rPr>
              <w:t>Нет: отображается только текущее состояние</w:t>
            </w:r>
          </w:p>
        </w:tc>
        <w:tc>
          <w:tcPr>
            <w:tcW w:type="dxa" w:w="1701"/>
          </w:tcPr>
          <w:p>
            <w:pPr>
              <w:spacing w:before="0" w:after="0" w:line="240" w:lineRule="auto"/>
              <w:ind w:firstLine="0"/>
              <w:jc w:val="left"/>
            </w:pPr>
            <w:r/>
            <w:r>
              <w:rPr>
                <w:rFonts w:ascii="Times New Roman" w:hAnsi="Times New Roman"/>
                <w:b w:val="0"/>
                <w:sz w:val="24"/>
              </w:rPr>
              <w:t>Нет; открытые данные частично</w:t>
            </w:r>
          </w:p>
        </w:tc>
        <w:tc>
          <w:tcPr>
            <w:tcW w:type="dxa" w:w="1587"/>
          </w:tcPr>
          <w:p>
            <w:pPr>
              <w:spacing w:before="0" w:after="0" w:line="240" w:lineRule="auto"/>
              <w:ind w:firstLine="0"/>
              <w:jc w:val="left"/>
            </w:pPr>
            <w:r/>
            <w:r>
              <w:rPr>
                <w:rFonts w:ascii="Times New Roman" w:hAnsi="Times New Roman"/>
                <w:b w:val="0"/>
                <w:sz w:val="24"/>
              </w:rPr>
              <w:t>Бесплатно</w:t>
            </w:r>
          </w:p>
        </w:tc>
      </w:tr>
      <w:tr>
        <w:tc>
          <w:tcPr>
            <w:tcW w:type="dxa" w:w="1587"/>
          </w:tcPr>
          <w:p>
            <w:pPr>
              <w:spacing w:before="0" w:after="0" w:line="240" w:lineRule="auto"/>
              <w:ind w:firstLine="0"/>
              <w:jc w:val="left"/>
            </w:pPr>
            <w:r/>
            <w:r>
              <w:rPr>
                <w:rFonts w:ascii="Times New Roman" w:hAnsi="Times New Roman"/>
                <w:b w:val="0"/>
                <w:sz w:val="24"/>
              </w:rPr>
              <w:t>Разрабатываемый продукт «mosres»</w:t>
            </w:r>
          </w:p>
        </w:tc>
        <w:tc>
          <w:tcPr>
            <w:tcW w:type="dxa" w:w="1247"/>
          </w:tcPr>
          <w:p>
            <w:pPr>
              <w:spacing w:before="0" w:after="0" w:line="240" w:lineRule="auto"/>
              <w:ind w:firstLine="0"/>
              <w:jc w:val="left"/>
            </w:pPr>
            <w:r/>
            <w:r>
              <w:rPr>
                <w:rFonts w:ascii="Times New Roman" w:hAnsi="Times New Roman"/>
                <w:b w:val="0"/>
                <w:sz w:val="24"/>
              </w:rPr>
              <w:t>ДГИ, риелторы, покупатели</w:t>
            </w:r>
          </w:p>
        </w:tc>
        <w:tc>
          <w:tcPr>
            <w:tcW w:type="dxa" w:w="1247"/>
          </w:tcPr>
          <w:p>
            <w:pPr>
              <w:spacing w:before="0" w:after="0" w:line="240" w:lineRule="auto"/>
              <w:ind w:firstLine="0"/>
              <w:jc w:val="left"/>
            </w:pPr>
            <w:r/>
            <w:r>
              <w:rPr>
                <w:rFonts w:ascii="Times New Roman" w:hAnsi="Times New Roman"/>
                <w:b w:val="0"/>
                <w:sz w:val="24"/>
              </w:rPr>
              <w:t>Квартира (лот) и корпус</w:t>
            </w:r>
          </w:p>
        </w:tc>
        <w:tc>
          <w:tcPr>
            <w:tcW w:type="dxa" w:w="1984"/>
          </w:tcPr>
          <w:p>
            <w:pPr>
              <w:spacing w:before="0" w:after="0" w:line="240" w:lineRule="auto"/>
              <w:ind w:firstLine="0"/>
              <w:jc w:val="left"/>
            </w:pPr>
            <w:r/>
            <w:r>
              <w:rPr>
                <w:rFonts w:ascii="Times New Roman" w:hAnsi="Times New Roman"/>
                <w:b w:val="0"/>
                <w:sz w:val="24"/>
              </w:rPr>
              <w:t>Да, версионно, с датой каждого изменения цены, скидки и резерва</w:t>
            </w:r>
          </w:p>
        </w:tc>
        <w:tc>
          <w:tcPr>
            <w:tcW w:type="dxa" w:w="1701"/>
          </w:tcPr>
          <w:p>
            <w:pPr>
              <w:spacing w:before="0" w:after="0" w:line="240" w:lineRule="auto"/>
              <w:ind w:firstLine="0"/>
              <w:jc w:val="left"/>
            </w:pPr>
            <w:r/>
            <w:r>
              <w:rPr>
                <w:rFonts w:ascii="Times New Roman" w:hAnsi="Times New Roman"/>
                <w:b w:val="0"/>
                <w:sz w:val="24"/>
              </w:rPr>
              <w:t>Да, с ключевой ставкой Банка России; Excel и REST API</w:t>
            </w:r>
          </w:p>
        </w:tc>
        <w:tc>
          <w:tcPr>
            <w:tcW w:type="dxa" w:w="1587"/>
          </w:tcPr>
          <w:p>
            <w:pPr>
              <w:spacing w:before="0" w:after="0" w:line="240" w:lineRule="auto"/>
              <w:ind w:firstLine="0"/>
              <w:jc w:val="left"/>
            </w:pPr>
            <w:r/>
            <w:r>
              <w:rPr>
                <w:rFonts w:ascii="Times New Roman" w:hAnsi="Times New Roman"/>
                <w:b w:val="0"/>
                <w:sz w:val="24"/>
              </w:rPr>
              <w:t>Бюджетное финансирование, для пользователя бесплатно</w:t>
            </w:r>
          </w:p>
        </w:tc>
      </w:tr>
    </w:tbl>
    <w:p>
      <w:pPr>
        <w:spacing w:before="0" w:after="0" w:line="360" w:lineRule="auto"/>
        <w:ind w:firstLine="0"/>
      </w:pPr>
    </w:p>
    <w:p>
      <w:pPr>
        <w:spacing w:before="0" w:after="0" w:line="360" w:lineRule="auto"/>
        <w:ind w:firstLine="709"/>
        <w:jc w:val="both"/>
      </w:pPr>
      <w:r>
        <w:rPr>
          <w:b w:val="0"/>
        </w:rPr>
        <w:t>Анализ показывает наличие незанятой функциональной нити. Классифайды охватывают предложение, но не хранят его историю; аналитические платформы хранят историю, но агрегированно и за существенную плату; государственные системы достоверны, но показывают только текущее состояние. Ни одно из рассмотренных решений не даёт версионной истории изменений по каждому лоту программы реновации с фиксацией цены, цены квадратного метра, скидки, резерва и аукционного статуса, дополненной ипотечными расчётами по действующим программам. Именно это сочетание и закладывается в основу разрабатываемого продукта «mosres».</w:t>
      </w:r>
    </w:p>
    <w:p>
      <w:pPr>
        <w:spacing w:before="0" w:after="0" w:line="360" w:lineRule="auto"/>
        <w:ind w:firstLine="709"/>
        <w:jc w:val="both"/>
      </w:pPr>
      <w:r>
        <w:rPr>
          <w:b w:val="0"/>
        </w:rPr>
        <w:t>Вывод по разделу. Проведённый теоретический анализ позволяет сделать три вывода. Во-первых, программный продукт для мониторинга рынка жилой недвижимости характеризуется высокими единовременными и низкими предельными затратами, поэтому определяющим элементом его экономического обоснования выступает оценка трудоёмкости разработки. Во-вторых, для продукта, создаваемого для государственного заказчика, эффект измеряется не выручкой, а денежной оценкой выгод заказчика — экономией трудозатрат, приростом доходов от основной деятельности и отказом от закупки сторонней аналитики; нормативные требования при этом снижают лицензионную часть затрат, но добавляют риск, связанный с аттестацией государственной информационной системы. В-третьих, сравнительный анализ подтверждает наличие рыночной и управленческой нишы для системы, ведущей версионную историю предложения по каждому лоту. Эти выводы задают структуру практического раздела: сначала характеристика продукта и оценка трудоёмкости, затем расчёт затрат и выгод, затем анализ эффективности с проверкой устойчивости результата.</w:t>
      </w:r>
    </w:p>
    <w:p>
      <w:pPr>
        <w:spacing w:before="0" w:after="0" w:line="360" w:lineRule="auto"/>
        <w:ind w:firstLine="0"/>
      </w:pPr>
      <w:r>
        <w:br w:type="page"/>
      </w:r>
    </w:p>
    <w:p>
      <w:pPr>
        <w:pStyle w:val="Heading1"/>
        <w:spacing w:before="0" w:after="0" w:line="360" w:lineRule="auto"/>
        <w:ind w:firstLine="0"/>
        <w:jc w:val="center"/>
      </w:pPr>
      <w:r>
        <w:rPr>
          <w:b/>
        </w:rPr>
        <w:t>2 ОЦЕНКА ЭФФЕКТИВНОСТИ РАЗРАБОТКИ И ВНЕДРЕНИЯ ПРОГРАММНОГО ПРОДУКТА «MOSRES»</w:t>
      </w:r>
    </w:p>
    <w:p>
      <w:pPr>
        <w:spacing w:before="0" w:after="0" w:line="360" w:lineRule="auto"/>
        <w:ind w:firstLine="0"/>
      </w:pPr>
    </w:p>
    <w:p>
      <w:pPr>
        <w:pStyle w:val="Heading2"/>
        <w:spacing w:before="0" w:after="0" w:line="360" w:lineRule="auto"/>
        <w:ind w:firstLine="709"/>
        <w:jc w:val="left"/>
      </w:pPr>
      <w:r>
        <w:rPr>
          <w:b/>
        </w:rPr>
        <w:t>2.1 Основные характеристики разрабатываемого программного продукта «mosres»</w:t>
      </w:r>
    </w:p>
    <w:p>
      <w:pPr>
        <w:spacing w:before="0" w:after="0" w:line="360" w:lineRule="auto"/>
        <w:ind w:firstLine="709"/>
        <w:jc w:val="both"/>
      </w:pPr>
      <w:r>
        <w:rPr>
          <w:b w:val="0"/>
        </w:rPr>
        <w:t>«mosres» — веб-ориентированная информационная система для автоматизированного сбора, версионного хранения и анализа данных о квартирах, реализуемых городом Москвой в домах программы реновации. Система развёртывается в инфраструктуре заказчика, доступна через браузер и мобильное приложение и не требует установки программного обеспечения на рабочие места пользователей [30].</w:t>
      </w:r>
    </w:p>
    <w:p>
      <w:pPr>
        <w:spacing w:before="0" w:after="0" w:line="360" w:lineRule="auto"/>
        <w:ind w:firstLine="709"/>
        <w:jc w:val="both"/>
      </w:pPr>
      <w:r>
        <w:rPr>
          <w:b w:val="0"/>
        </w:rPr>
        <w:t>1. Формулировка проблемы и постановка целей разработки</w:t>
      </w:r>
    </w:p>
    <w:p>
      <w:pPr>
        <w:spacing w:before="0" w:after="0" w:line="360" w:lineRule="auto"/>
        <w:ind w:firstLine="709"/>
        <w:jc w:val="both"/>
      </w:pPr>
      <w:r>
        <w:rPr>
          <w:b w:val="0"/>
        </w:rPr>
        <w:t>Проблема, решаемая проектом, состоит в отсутствии инструмента, который фиксировал бы изменения предложения городских квартир во времени. Практические проявления проблемы:</w:t>
      </w:r>
    </w:p>
    <w:p>
      <w:pPr>
        <w:spacing w:before="0" w:after="0" w:line="360" w:lineRule="auto"/>
        <w:ind w:firstLine="709"/>
        <w:jc w:val="both"/>
      </w:pPr>
      <w:r>
        <w:rPr>
          <w:b w:val="0"/>
        </w:rPr>
        <w:t>– данные о ценах, скидках и резервах доступны только в виде текущего среза; после изменения цены предыдущее значение теряется безвозвратно;</w:t>
      </w:r>
    </w:p>
    <w:p>
      <w:pPr>
        <w:spacing w:before="0" w:after="0" w:line="360" w:lineRule="auto"/>
        <w:ind w:firstLine="709"/>
        <w:jc w:val="both"/>
      </w:pPr>
      <w:r>
        <w:rPr>
          <w:b w:val="0"/>
        </w:rPr>
        <w:t>– подготовка сводного среза предложения по 1 715 квартирам в 56 корпусах выполняется вручную и занимает у сотрудника до четырёх часов, причём результат нельзя сопоставить с результатом предыдущей недели из-за различий в форме выгрузки;</w:t>
      </w:r>
    </w:p>
    <w:p>
      <w:pPr>
        <w:spacing w:before="0" w:after="0" w:line="360" w:lineRule="auto"/>
        <w:ind w:firstLine="709"/>
        <w:jc w:val="both"/>
      </w:pPr>
      <w:r>
        <w:rPr>
          <w:b w:val="0"/>
        </w:rPr>
        <w:t>– решения о размере и сроке скидки принимаются без данных о том, как ранее менялась цена сопоставимых квартир того же корпуса и как быстро лоты уходили в резерв;</w:t>
      </w:r>
    </w:p>
    <w:p>
      <w:pPr>
        <w:spacing w:before="0" w:after="0" w:line="360" w:lineRule="auto"/>
        <w:ind w:firstLine="709"/>
        <w:jc w:val="both"/>
      </w:pPr>
      <w:r>
        <w:rPr>
          <w:b w:val="0"/>
        </w:rPr>
        <w:t>– покупатель и риелтор не имеют возможности сравнить лоты по цене квадратного метра, транспортной доступности и ипотечной нагрузке, что удлиняет срок принятия решения о покупке.</w:t>
      </w:r>
    </w:p>
    <w:p>
      <w:pPr>
        <w:spacing w:before="0" w:after="0" w:line="360" w:lineRule="auto"/>
        <w:ind w:firstLine="709"/>
        <w:jc w:val="both"/>
      </w:pPr>
      <w:r>
        <w:rPr>
          <w:b w:val="0"/>
        </w:rPr>
        <w:t>Цель разработки — обеспечить полный цикл работы с данными предложения: автоматический сбор → версионное хранение истории → аналитика и уведомления об изменениях → выгрузка отчётов и ипотечные расчёты. Цели проекта конкретизированы по критериям SMART:</w:t>
      </w:r>
    </w:p>
    <w:p>
      <w:pPr>
        <w:spacing w:before="0" w:after="0" w:line="360" w:lineRule="auto"/>
        <w:ind w:firstLine="709"/>
        <w:jc w:val="both"/>
      </w:pPr>
      <w:r>
        <w:rPr>
          <w:b w:val="0"/>
        </w:rPr>
        <w:t>1) к моменту ввода в эксплуатацию полностью исключить ручную подготовку ежедневного среза предложения: сбор данных выполняется автоматически с периодичностью 30 минут (экономия до 4 часов рабочего времени на одного аналитика в неделю);</w:t>
      </w:r>
    </w:p>
    <w:p>
      <w:pPr>
        <w:spacing w:before="0" w:after="0" w:line="360" w:lineRule="auto"/>
        <w:ind w:firstLine="709"/>
        <w:jc w:val="both"/>
      </w:pPr>
      <w:r>
        <w:rPr>
          <w:b w:val="0"/>
        </w:rPr>
        <w:t>2) обеспечить фиксацию 100 % изменений цены, скидки, резерва и статуса по каждому лоту с указанием даты изменения при глубине хранения истории не менее 24 месяцев;</w:t>
      </w:r>
    </w:p>
    <w:p>
      <w:pPr>
        <w:spacing w:before="0" w:after="0" w:line="360" w:lineRule="auto"/>
        <w:ind w:firstLine="709"/>
        <w:jc w:val="both"/>
      </w:pPr>
      <w:r>
        <w:rPr>
          <w:b w:val="0"/>
        </w:rPr>
        <w:t>3) сократить срок подготовки аналитического отчёта по корпусу с одного рабочего дня до пяти минут за счёт готовых представлений и выгрузки в Excel;</w:t>
      </w:r>
    </w:p>
    <w:p>
      <w:pPr>
        <w:spacing w:before="0" w:after="0" w:line="360" w:lineRule="auto"/>
        <w:ind w:firstLine="709"/>
        <w:jc w:val="both"/>
      </w:pPr>
      <w:r>
        <w:rPr>
          <w:b w:val="0"/>
        </w:rPr>
        <w:t>4) обеспечить доступность системы не ниже 99 % в рабочее время и время отклика основных экранов не более двух секунд при полном объёме данных.</w:t>
      </w:r>
    </w:p>
    <w:p>
      <w:pPr>
        <w:spacing w:before="0" w:after="0" w:line="360" w:lineRule="auto"/>
        <w:ind w:firstLine="709"/>
        <w:jc w:val="both"/>
      </w:pPr>
      <w:r>
        <w:rPr>
          <w:b w:val="0"/>
        </w:rPr>
        <w:t>2. Анализ целевой аудитории</w:t>
      </w:r>
    </w:p>
    <w:p>
      <w:pPr>
        <w:spacing w:before="0" w:after="0" w:line="360" w:lineRule="auto"/>
        <w:ind w:firstLine="709"/>
        <w:jc w:val="both"/>
      </w:pPr>
      <w:r>
        <w:rPr>
          <w:b w:val="0"/>
        </w:rPr>
        <w:t>Пользователи системы разделяются на три сегмента, различающихся задачами и сценариями работы.</w:t>
      </w:r>
    </w:p>
    <w:p>
      <w:pPr>
        <w:spacing w:before="0" w:after="0" w:line="360" w:lineRule="auto"/>
        <w:ind w:firstLine="709"/>
        <w:jc w:val="both"/>
      </w:pPr>
      <w:r>
        <w:rPr>
          <w:b w:val="0"/>
        </w:rPr>
        <w:t>Сегмент А — сотрудники подразделения реализации жилых помещений ДГИ (около 15 человек). Работают ежедневно, ведут перечень лотов, отслеживают уход квартир в резерв и подготовку аукционов. Ключевая потребность — оперативный перечень изменений за сутки и выгрузка в Excel для внутренней отчётности.</w:t>
      </w:r>
    </w:p>
    <w:p>
      <w:pPr>
        <w:spacing w:before="0" w:after="0" w:line="360" w:lineRule="auto"/>
        <w:ind w:firstLine="709"/>
        <w:jc w:val="both"/>
      </w:pPr>
      <w:r>
        <w:rPr>
          <w:b w:val="0"/>
        </w:rPr>
        <w:t>Сегмент Б — аналитики и специалисты по ценообразованию (около 10 человек). Работают с агрегированными представлениями: динамика цены квадратного метра по корпусам, распределение цен по округам и станциям метро, сроки ввода корпусов, сводные таблицы. Ключевая потребность — ретроспектива и сопоставимость данных.</w:t>
      </w:r>
    </w:p>
    <w:p>
      <w:pPr>
        <w:spacing w:before="0" w:after="0" w:line="360" w:lineRule="auto"/>
        <w:ind w:firstLine="709"/>
        <w:jc w:val="both"/>
      </w:pPr>
      <w:r>
        <w:rPr>
          <w:b w:val="0"/>
        </w:rPr>
        <w:t>Сегмент В — внешние пользователи публичного контура: покупатели и риелторы. Работают эпизодически, сравнивают лоты по цене квадратного метра, транспортной доступности и ипотечному платежу. Ключевая потребность — понятный расчёт ежемесячного платежа по действующим программам и оценка вероятного удорожания аукционных лотов.</w:t>
      </w:r>
    </w:p>
    <w:p>
      <w:pPr>
        <w:spacing w:before="0" w:after="0" w:line="360" w:lineRule="auto"/>
        <w:ind w:firstLine="709"/>
        <w:jc w:val="both"/>
      </w:pPr>
      <w:r>
        <w:rPr>
          <w:b w:val="0"/>
        </w:rPr>
        <w:t>3. Формирование функциональных требований (MVP)</w:t>
      </w:r>
    </w:p>
    <w:p>
      <w:pPr>
        <w:spacing w:before="0" w:after="0" w:line="360" w:lineRule="auto"/>
        <w:ind w:firstLine="709"/>
        <w:jc w:val="both"/>
      </w:pPr>
      <w:r>
        <w:rPr>
          <w:b w:val="0"/>
        </w:rPr>
        <w:t>Состав минимально жизнеспособной версии продукта определён по модулям и приведён в таблице 2.1. Приоритет при отборе функций отдавался тем, которые обеспечивают накопление истории: без данных о прошлом остальные функции теряют смысл.</w:t>
      </w:r>
    </w:p>
    <w:p>
      <w:pPr>
        <w:spacing w:before="120" w:after="0" w:line="240" w:lineRule="auto"/>
        <w:ind w:firstLine="0"/>
        <w:jc w:val="left"/>
      </w:pPr>
      <w:r>
        <w:rPr>
          <w:b w:val="0"/>
        </w:rPr>
        <w:t>Таблица 2.1 – Функциональные модули минимально жизнеспособной версии продукта «mosres»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737"/>
          </w:tcPr>
          <w:p>
            <w:pPr>
              <w:spacing w:before="0" w:after="0" w:line="240" w:lineRule="auto"/>
              <w:ind w:firstLine="0"/>
              <w:jc w:val="center"/>
            </w:pPr>
            <w:r/>
            <w:r>
              <w:rPr>
                <w:rFonts w:ascii="Times New Roman" w:hAnsi="Times New Roman"/>
                <w:b/>
                <w:sz w:val="24"/>
              </w:rPr>
              <w:t>№ п/п</w:t>
            </w:r>
          </w:p>
        </w:tc>
        <w:tc>
          <w:tcPr>
            <w:tcW w:type="dxa" w:w="1644"/>
          </w:tcPr>
          <w:p>
            <w:pPr>
              <w:spacing w:before="0" w:after="0" w:line="240" w:lineRule="auto"/>
              <w:ind w:firstLine="0"/>
              <w:jc w:val="center"/>
            </w:pPr>
            <w:r/>
            <w:r>
              <w:rPr>
                <w:rFonts w:ascii="Times New Roman" w:hAnsi="Times New Roman"/>
                <w:b/>
                <w:sz w:val="24"/>
              </w:rPr>
              <w:t>Модуль</w:t>
            </w:r>
          </w:p>
        </w:tc>
        <w:tc>
          <w:tcPr>
            <w:tcW w:type="dxa" w:w="5669"/>
          </w:tcPr>
          <w:p>
            <w:pPr>
              <w:spacing w:before="0" w:after="0" w:line="240" w:lineRule="auto"/>
              <w:ind w:firstLine="0"/>
              <w:jc w:val="center"/>
            </w:pPr>
            <w:r/>
            <w:r>
              <w:rPr>
                <w:rFonts w:ascii="Times New Roman" w:hAnsi="Times New Roman"/>
                <w:b/>
                <w:sz w:val="24"/>
              </w:rPr>
              <w:t>Состав функций</w:t>
            </w:r>
          </w:p>
        </w:tc>
        <w:tc>
          <w:tcPr>
            <w:tcW w:type="dxa" w:w="1304"/>
          </w:tcPr>
          <w:p>
            <w:pPr>
              <w:spacing w:before="0" w:after="0" w:line="240" w:lineRule="auto"/>
              <w:ind w:firstLine="0"/>
              <w:jc w:val="center"/>
            </w:pPr>
            <w:r/>
            <w:r>
              <w:rPr>
                <w:rFonts w:ascii="Times New Roman" w:hAnsi="Times New Roman"/>
                <w:b/>
                <w:sz w:val="24"/>
              </w:rPr>
              <w:t>Приоритет</w:t>
            </w:r>
          </w:p>
        </w:tc>
      </w:tr>
      <w:tr>
        <w:tc>
          <w:tcPr>
            <w:tcW w:type="dxa" w:w="737"/>
          </w:tcPr>
          <w:p>
            <w:pPr>
              <w:spacing w:before="0" w:after="0" w:line="240" w:lineRule="auto"/>
              <w:ind w:firstLine="0"/>
              <w:jc w:val="left"/>
            </w:pPr>
            <w:r/>
            <w:r>
              <w:rPr>
                <w:rFonts w:ascii="Times New Roman" w:hAnsi="Times New Roman"/>
                <w:b w:val="0"/>
                <w:sz w:val="24"/>
              </w:rPr>
              <w:t>1</w:t>
            </w:r>
          </w:p>
        </w:tc>
        <w:tc>
          <w:tcPr>
            <w:tcW w:type="dxa" w:w="1644"/>
          </w:tcPr>
          <w:p>
            <w:pPr>
              <w:spacing w:before="0" w:after="0" w:line="240" w:lineRule="auto"/>
              <w:ind w:firstLine="0"/>
              <w:jc w:val="left"/>
            </w:pPr>
            <w:r/>
            <w:r>
              <w:rPr>
                <w:rFonts w:ascii="Times New Roman" w:hAnsi="Times New Roman"/>
                <w:b w:val="0"/>
                <w:sz w:val="24"/>
              </w:rPr>
              <w:t>Сбор данных</w:t>
            </w:r>
          </w:p>
        </w:tc>
        <w:tc>
          <w:tcPr>
            <w:tcW w:type="dxa" w:w="5669"/>
          </w:tcPr>
          <w:p>
            <w:pPr>
              <w:spacing w:before="0" w:after="0" w:line="240" w:lineRule="auto"/>
              <w:ind w:firstLine="0"/>
              <w:jc w:val="left"/>
            </w:pPr>
            <w:r/>
            <w:r>
              <w:rPr>
                <w:rFonts w:ascii="Times New Roman" w:hAnsi="Times New Roman"/>
                <w:b w:val="0"/>
                <w:sz w:val="24"/>
              </w:rPr>
              <w:t>Асинхронный клиент к источнику данных портала продаж; поддержка трёх типов объектов (квартиры, коммерческие помещения, паркинг); повторные попытки при ошибках; планировщик регламентного обновления с интервалом 30 минут; журнал прогонов</w:t>
            </w:r>
          </w:p>
        </w:tc>
        <w:tc>
          <w:tcPr>
            <w:tcW w:type="dxa" w:w="1304"/>
          </w:tcPr>
          <w:p>
            <w:pPr>
              <w:spacing w:before="0" w:after="0" w:line="240" w:lineRule="auto"/>
              <w:ind w:firstLine="0"/>
              <w:jc w:val="left"/>
            </w:pPr>
            <w:r/>
            <w:r>
              <w:rPr>
                <w:rFonts w:ascii="Times New Roman" w:hAnsi="Times New Roman"/>
                <w:b w:val="0"/>
                <w:sz w:val="24"/>
              </w:rPr>
              <w:t>Критический</w:t>
            </w:r>
          </w:p>
        </w:tc>
      </w:tr>
      <w:tr>
        <w:tc>
          <w:tcPr>
            <w:tcW w:type="dxa" w:w="737"/>
          </w:tcPr>
          <w:p>
            <w:pPr>
              <w:spacing w:before="0" w:after="0" w:line="240" w:lineRule="auto"/>
              <w:ind w:firstLine="0"/>
              <w:jc w:val="left"/>
            </w:pPr>
            <w:r/>
            <w:r>
              <w:rPr>
                <w:rFonts w:ascii="Times New Roman" w:hAnsi="Times New Roman"/>
                <w:b w:val="0"/>
                <w:sz w:val="24"/>
              </w:rPr>
              <w:t>2</w:t>
            </w:r>
          </w:p>
        </w:tc>
        <w:tc>
          <w:tcPr>
            <w:tcW w:type="dxa" w:w="1644"/>
          </w:tcPr>
          <w:p>
            <w:pPr>
              <w:spacing w:before="0" w:after="0" w:line="240" w:lineRule="auto"/>
              <w:ind w:firstLine="0"/>
              <w:jc w:val="left"/>
            </w:pPr>
            <w:r/>
            <w:r>
              <w:rPr>
                <w:rFonts w:ascii="Times New Roman" w:hAnsi="Times New Roman"/>
                <w:b w:val="0"/>
                <w:sz w:val="24"/>
              </w:rPr>
              <w:t>Хранение и версионирование</w:t>
            </w:r>
          </w:p>
        </w:tc>
        <w:tc>
          <w:tcPr>
            <w:tcW w:type="dxa" w:w="5669"/>
          </w:tcPr>
          <w:p>
            <w:pPr>
              <w:spacing w:before="0" w:after="0" w:line="240" w:lineRule="auto"/>
              <w:ind w:firstLine="0"/>
              <w:jc w:val="left"/>
            </w:pPr>
            <w:r/>
            <w:r>
              <w:rPr>
                <w:rFonts w:ascii="Times New Roman" w:hAnsi="Times New Roman"/>
                <w:b w:val="0"/>
                <w:sz w:val="24"/>
              </w:rPr>
              <w:t>Схема данных для корпусов, квартир, округов, станций метро; триггерное ведение истории изменений; таблица ежедневной статистики цен по корпусам; управление схемой миграциями (28 версий)</w:t>
            </w:r>
          </w:p>
        </w:tc>
        <w:tc>
          <w:tcPr>
            <w:tcW w:type="dxa" w:w="1304"/>
          </w:tcPr>
          <w:p>
            <w:pPr>
              <w:spacing w:before="0" w:after="0" w:line="240" w:lineRule="auto"/>
              <w:ind w:firstLine="0"/>
              <w:jc w:val="left"/>
            </w:pPr>
            <w:r/>
            <w:r>
              <w:rPr>
                <w:rFonts w:ascii="Times New Roman" w:hAnsi="Times New Roman"/>
                <w:b w:val="0"/>
                <w:sz w:val="24"/>
              </w:rPr>
              <w:t>Критический</w:t>
            </w:r>
          </w:p>
        </w:tc>
      </w:tr>
      <w:tr>
        <w:tc>
          <w:tcPr>
            <w:tcW w:type="dxa" w:w="737"/>
          </w:tcPr>
          <w:p>
            <w:pPr>
              <w:spacing w:before="0" w:after="0" w:line="240" w:lineRule="auto"/>
              <w:ind w:firstLine="0"/>
              <w:jc w:val="left"/>
            </w:pPr>
            <w:r/>
            <w:r>
              <w:rPr>
                <w:rFonts w:ascii="Times New Roman" w:hAnsi="Times New Roman"/>
                <w:b w:val="0"/>
                <w:sz w:val="24"/>
              </w:rPr>
              <w:t>3</w:t>
            </w:r>
          </w:p>
        </w:tc>
        <w:tc>
          <w:tcPr>
            <w:tcW w:type="dxa" w:w="1644"/>
          </w:tcPr>
          <w:p>
            <w:pPr>
              <w:spacing w:before="0" w:after="0" w:line="240" w:lineRule="auto"/>
              <w:ind w:firstLine="0"/>
              <w:jc w:val="left"/>
            </w:pPr>
            <w:r/>
            <w:r>
              <w:rPr>
                <w:rFonts w:ascii="Times New Roman" w:hAnsi="Times New Roman"/>
                <w:b w:val="0"/>
                <w:sz w:val="24"/>
              </w:rPr>
              <w:t>Программный интерфейс (API)</w:t>
            </w:r>
          </w:p>
        </w:tc>
        <w:tc>
          <w:tcPr>
            <w:tcW w:type="dxa" w:w="5669"/>
          </w:tcPr>
          <w:p>
            <w:pPr>
              <w:spacing w:before="0" w:after="0" w:line="240" w:lineRule="auto"/>
              <w:ind w:firstLine="0"/>
              <w:jc w:val="left"/>
            </w:pPr>
            <w:r/>
            <w:r>
              <w:rPr>
                <w:rFonts w:ascii="Times New Roman" w:hAnsi="Times New Roman"/>
                <w:b w:val="0"/>
                <w:sz w:val="24"/>
              </w:rPr>
              <w:t>Более 30 методов REST: перечень квартир с фильтрами, история версий лота и корпуса, метрики, временные ряды, статистика по корпусам, состояние обновления</w:t>
            </w:r>
          </w:p>
        </w:tc>
        <w:tc>
          <w:tcPr>
            <w:tcW w:type="dxa" w:w="1304"/>
          </w:tcPr>
          <w:p>
            <w:pPr>
              <w:spacing w:before="0" w:after="0" w:line="240" w:lineRule="auto"/>
              <w:ind w:firstLine="0"/>
              <w:jc w:val="left"/>
            </w:pPr>
            <w:r/>
            <w:r>
              <w:rPr>
                <w:rFonts w:ascii="Times New Roman" w:hAnsi="Times New Roman"/>
                <w:b w:val="0"/>
                <w:sz w:val="24"/>
              </w:rPr>
              <w:t>Критический</w:t>
            </w:r>
          </w:p>
        </w:tc>
      </w:tr>
      <w:tr>
        <w:tc>
          <w:tcPr>
            <w:tcW w:type="dxa" w:w="737"/>
          </w:tcPr>
          <w:p>
            <w:pPr>
              <w:spacing w:before="0" w:after="0" w:line="240" w:lineRule="auto"/>
              <w:ind w:firstLine="0"/>
              <w:jc w:val="left"/>
            </w:pPr>
            <w:r/>
            <w:r>
              <w:rPr>
                <w:rFonts w:ascii="Times New Roman" w:hAnsi="Times New Roman"/>
                <w:b w:val="0"/>
                <w:sz w:val="24"/>
              </w:rPr>
              <w:t>4</w:t>
            </w:r>
          </w:p>
        </w:tc>
        <w:tc>
          <w:tcPr>
            <w:tcW w:type="dxa" w:w="1644"/>
          </w:tcPr>
          <w:p>
            <w:pPr>
              <w:spacing w:before="0" w:after="0" w:line="240" w:lineRule="auto"/>
              <w:ind w:firstLine="0"/>
              <w:jc w:val="left"/>
            </w:pPr>
            <w:r/>
            <w:r>
              <w:rPr>
                <w:rFonts w:ascii="Times New Roman" w:hAnsi="Times New Roman"/>
                <w:b w:val="0"/>
                <w:sz w:val="24"/>
              </w:rPr>
              <w:t>Аналитика</w:t>
            </w:r>
          </w:p>
        </w:tc>
        <w:tc>
          <w:tcPr>
            <w:tcW w:type="dxa" w:w="5669"/>
          </w:tcPr>
          <w:p>
            <w:pPr>
              <w:spacing w:before="0" w:after="0" w:line="240" w:lineRule="auto"/>
              <w:ind w:firstLine="0"/>
              <w:jc w:val="left"/>
            </w:pPr>
            <w:r/>
            <w:r>
              <w:rPr>
                <w:rFonts w:ascii="Times New Roman" w:hAnsi="Times New Roman"/>
                <w:b w:val="0"/>
                <w:sz w:val="24"/>
              </w:rPr>
              <w:t>Дашборд метрик за сутки (новые лоты, изменения, падения и рост цен, новые скидки, уход в резерв); временные ряды за период; распределение цен по округам и станциям метро; диаграмма связей округ — цена; сводные таблицы; графики сроков ввода</w:t>
            </w:r>
          </w:p>
        </w:tc>
        <w:tc>
          <w:tcPr>
            <w:tcW w:type="dxa" w:w="1304"/>
          </w:tcPr>
          <w:p>
            <w:pPr>
              <w:spacing w:before="0" w:after="0" w:line="240" w:lineRule="auto"/>
              <w:ind w:firstLine="0"/>
              <w:jc w:val="left"/>
            </w:pPr>
            <w:r/>
            <w:r>
              <w:rPr>
                <w:rFonts w:ascii="Times New Roman" w:hAnsi="Times New Roman"/>
                <w:b w:val="0"/>
                <w:sz w:val="24"/>
              </w:rPr>
              <w:t>Высокий</w:t>
            </w:r>
          </w:p>
        </w:tc>
      </w:tr>
      <w:tr>
        <w:tc>
          <w:tcPr>
            <w:tcW w:type="dxa" w:w="737"/>
          </w:tcPr>
          <w:p>
            <w:pPr>
              <w:spacing w:before="0" w:after="0" w:line="240" w:lineRule="auto"/>
              <w:ind w:firstLine="0"/>
              <w:jc w:val="left"/>
            </w:pPr>
            <w:r/>
            <w:r>
              <w:rPr>
                <w:rFonts w:ascii="Times New Roman" w:hAnsi="Times New Roman"/>
                <w:b w:val="0"/>
                <w:sz w:val="24"/>
              </w:rPr>
              <w:t>5</w:t>
            </w:r>
          </w:p>
        </w:tc>
        <w:tc>
          <w:tcPr>
            <w:tcW w:type="dxa" w:w="1644"/>
          </w:tcPr>
          <w:p>
            <w:pPr>
              <w:spacing w:before="0" w:after="0" w:line="240" w:lineRule="auto"/>
              <w:ind w:firstLine="0"/>
              <w:jc w:val="left"/>
            </w:pPr>
            <w:r/>
            <w:r>
              <w:rPr>
                <w:rFonts w:ascii="Times New Roman" w:hAnsi="Times New Roman"/>
                <w:b w:val="0"/>
                <w:sz w:val="24"/>
              </w:rPr>
              <w:t>Ипотечные расчёты</w:t>
            </w:r>
          </w:p>
        </w:tc>
        <w:tc>
          <w:tcPr>
            <w:tcW w:type="dxa" w:w="5669"/>
          </w:tcPr>
          <w:p>
            <w:pPr>
              <w:spacing w:before="0" w:after="0" w:line="240" w:lineRule="auto"/>
              <w:ind w:firstLine="0"/>
              <w:jc w:val="left"/>
            </w:pPr>
            <w:r/>
            <w:r>
              <w:rPr>
                <w:rFonts w:ascii="Times New Roman" w:hAnsi="Times New Roman"/>
                <w:b w:val="0"/>
                <w:sz w:val="24"/>
              </w:rPr>
              <w:t>Аннуитетный расчёт платежа; ключевая ставка Банка России и оценка рыночной ставки; семейная программа и произвольная ставка; сравнение вариантов первоначального взноса; оценка диапазона итоговой цены аукционного лота (+10…30 % к начальной)</w:t>
            </w:r>
          </w:p>
        </w:tc>
        <w:tc>
          <w:tcPr>
            <w:tcW w:type="dxa" w:w="1304"/>
          </w:tcPr>
          <w:p>
            <w:pPr>
              <w:spacing w:before="0" w:after="0" w:line="240" w:lineRule="auto"/>
              <w:ind w:firstLine="0"/>
              <w:jc w:val="left"/>
            </w:pPr>
            <w:r/>
            <w:r>
              <w:rPr>
                <w:rFonts w:ascii="Times New Roman" w:hAnsi="Times New Roman"/>
                <w:b w:val="0"/>
                <w:sz w:val="24"/>
              </w:rPr>
              <w:t>Высокий</w:t>
            </w:r>
          </w:p>
        </w:tc>
      </w:tr>
      <w:tr>
        <w:tc>
          <w:tcPr>
            <w:tcW w:type="dxa" w:w="737"/>
          </w:tcPr>
          <w:p>
            <w:pPr>
              <w:spacing w:before="0" w:after="0" w:line="240" w:lineRule="auto"/>
              <w:ind w:firstLine="0"/>
              <w:jc w:val="left"/>
            </w:pPr>
            <w:r/>
            <w:r>
              <w:rPr>
                <w:rFonts w:ascii="Times New Roman" w:hAnsi="Times New Roman"/>
                <w:b w:val="0"/>
                <w:sz w:val="24"/>
              </w:rPr>
              <w:t>6</w:t>
            </w:r>
          </w:p>
        </w:tc>
        <w:tc>
          <w:tcPr>
            <w:tcW w:type="dxa" w:w="1644"/>
          </w:tcPr>
          <w:p>
            <w:pPr>
              <w:spacing w:before="0" w:after="0" w:line="240" w:lineRule="auto"/>
              <w:ind w:firstLine="0"/>
              <w:jc w:val="left"/>
            </w:pPr>
            <w:r/>
            <w:r>
              <w:rPr>
                <w:rFonts w:ascii="Times New Roman" w:hAnsi="Times New Roman"/>
                <w:b w:val="0"/>
                <w:sz w:val="24"/>
              </w:rPr>
              <w:t>Рабочие инструменты</w:t>
            </w:r>
          </w:p>
        </w:tc>
        <w:tc>
          <w:tcPr>
            <w:tcW w:type="dxa" w:w="5669"/>
          </w:tcPr>
          <w:p>
            <w:pPr>
              <w:spacing w:before="0" w:after="0" w:line="240" w:lineRule="auto"/>
              <w:ind w:firstLine="0"/>
              <w:jc w:val="left"/>
            </w:pPr>
            <w:r/>
            <w:r>
              <w:rPr>
                <w:rFonts w:ascii="Times New Roman" w:hAnsi="Times New Roman"/>
                <w:b w:val="0"/>
                <w:sz w:val="24"/>
              </w:rPr>
              <w:t>Авторизация и разграничение доступа; избранное по каждому пользователю; комментарии к лотам; уведомления об изменениях; выгрузка таблицы в Excel с учётом фильтров</w:t>
            </w:r>
          </w:p>
        </w:tc>
        <w:tc>
          <w:tcPr>
            <w:tcW w:type="dxa" w:w="1304"/>
          </w:tcPr>
          <w:p>
            <w:pPr>
              <w:spacing w:before="0" w:after="0" w:line="240" w:lineRule="auto"/>
              <w:ind w:firstLine="0"/>
              <w:jc w:val="left"/>
            </w:pPr>
            <w:r/>
            <w:r>
              <w:rPr>
                <w:rFonts w:ascii="Times New Roman" w:hAnsi="Times New Roman"/>
                <w:b w:val="0"/>
                <w:sz w:val="24"/>
              </w:rPr>
              <w:t>Высокий</w:t>
            </w:r>
          </w:p>
        </w:tc>
      </w:tr>
      <w:tr>
        <w:tc>
          <w:tcPr>
            <w:tcW w:type="dxa" w:w="737"/>
          </w:tcPr>
          <w:p>
            <w:pPr>
              <w:spacing w:before="0" w:after="0" w:line="240" w:lineRule="auto"/>
              <w:ind w:firstLine="0"/>
              <w:jc w:val="left"/>
            </w:pPr>
            <w:r/>
            <w:r>
              <w:rPr>
                <w:rFonts w:ascii="Times New Roman" w:hAnsi="Times New Roman"/>
                <w:b w:val="0"/>
                <w:sz w:val="24"/>
              </w:rPr>
              <w:t>7</w:t>
            </w:r>
          </w:p>
        </w:tc>
        <w:tc>
          <w:tcPr>
            <w:tcW w:type="dxa" w:w="1644"/>
          </w:tcPr>
          <w:p>
            <w:pPr>
              <w:spacing w:before="0" w:after="0" w:line="240" w:lineRule="auto"/>
              <w:ind w:firstLine="0"/>
              <w:jc w:val="left"/>
            </w:pPr>
            <w:r/>
            <w:r>
              <w:rPr>
                <w:rFonts w:ascii="Times New Roman" w:hAnsi="Times New Roman"/>
                <w:b w:val="0"/>
                <w:sz w:val="24"/>
              </w:rPr>
              <w:t>Клиентские приложения</w:t>
            </w:r>
          </w:p>
        </w:tc>
        <w:tc>
          <w:tcPr>
            <w:tcW w:type="dxa" w:w="5669"/>
          </w:tcPr>
          <w:p>
            <w:pPr>
              <w:spacing w:before="0" w:after="0" w:line="240" w:lineRule="auto"/>
              <w:ind w:firstLine="0"/>
              <w:jc w:val="left"/>
            </w:pPr>
            <w:r/>
            <w:r>
              <w:rPr>
                <w:rFonts w:ascii="Times New Roman" w:hAnsi="Times New Roman"/>
                <w:b w:val="0"/>
                <w:sz w:val="24"/>
              </w:rPr>
              <w:t>Одностраничное веб-приложение (9 экранов); прогрессивное веб-приложение; мобильное приложение для Android на основе той же сборки</w:t>
            </w:r>
          </w:p>
        </w:tc>
        <w:tc>
          <w:tcPr>
            <w:tcW w:type="dxa" w:w="1304"/>
          </w:tcPr>
          <w:p>
            <w:pPr>
              <w:spacing w:before="0" w:after="0" w:line="240" w:lineRule="auto"/>
              <w:ind w:firstLine="0"/>
              <w:jc w:val="left"/>
            </w:pPr>
            <w:r/>
            <w:r>
              <w:rPr>
                <w:rFonts w:ascii="Times New Roman" w:hAnsi="Times New Roman"/>
                <w:b w:val="0"/>
                <w:sz w:val="24"/>
              </w:rPr>
              <w:t>Средний</w:t>
            </w:r>
          </w:p>
        </w:tc>
      </w:tr>
    </w:tbl>
    <w:p>
      <w:pPr>
        <w:spacing w:before="0" w:after="0" w:line="360" w:lineRule="auto"/>
        <w:ind w:firstLine="0"/>
      </w:pPr>
    </w:p>
    <w:p>
      <w:pPr>
        <w:spacing w:before="0" w:after="0" w:line="360" w:lineRule="auto"/>
        <w:ind w:firstLine="709"/>
        <w:jc w:val="both"/>
      </w:pPr>
      <w:r>
        <w:rPr>
          <w:b w:val="0"/>
        </w:rPr>
        <w:t>Технологический стек продукта подобран с учётом требований подраздела 1.2 — отсутствие иностранных проприетарных лицензий и возможность развёртывания в инфраструктуре заказчика. Состав стека и обоснование выбора приведены в таблице 2.2.</w:t>
      </w:r>
    </w:p>
    <w:p>
      <w:pPr>
        <w:spacing w:before="120" w:after="0" w:line="240" w:lineRule="auto"/>
        <w:ind w:firstLine="0"/>
        <w:jc w:val="left"/>
      </w:pPr>
      <w:r>
        <w:rPr>
          <w:b w:val="0"/>
        </w:rPr>
        <w:t>Таблица 2.2 – Технологический стек продукта и обоснование выбора</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1701"/>
          </w:tcPr>
          <w:p>
            <w:pPr>
              <w:spacing w:before="0" w:after="0" w:line="240" w:lineRule="auto"/>
              <w:ind w:firstLine="0"/>
              <w:jc w:val="center"/>
            </w:pPr>
            <w:r/>
            <w:r>
              <w:rPr>
                <w:rFonts w:ascii="Times New Roman" w:hAnsi="Times New Roman"/>
                <w:b/>
                <w:sz w:val="24"/>
              </w:rPr>
              <w:t>Слой</w:t>
            </w:r>
          </w:p>
        </w:tc>
        <w:tc>
          <w:tcPr>
            <w:tcW w:type="dxa" w:w="2494"/>
          </w:tcPr>
          <w:p>
            <w:pPr>
              <w:spacing w:before="0" w:after="0" w:line="240" w:lineRule="auto"/>
              <w:ind w:firstLine="0"/>
              <w:jc w:val="center"/>
            </w:pPr>
            <w:r/>
            <w:r>
              <w:rPr>
                <w:rFonts w:ascii="Times New Roman" w:hAnsi="Times New Roman"/>
                <w:b/>
                <w:sz w:val="24"/>
              </w:rPr>
              <w:t>Технология</w:t>
            </w:r>
          </w:p>
        </w:tc>
        <w:tc>
          <w:tcPr>
            <w:tcW w:type="dxa" w:w="5159"/>
          </w:tcPr>
          <w:p>
            <w:pPr>
              <w:spacing w:before="0" w:after="0" w:line="240" w:lineRule="auto"/>
              <w:ind w:firstLine="0"/>
              <w:jc w:val="center"/>
            </w:pPr>
            <w:r/>
            <w:r>
              <w:rPr>
                <w:rFonts w:ascii="Times New Roman" w:hAnsi="Times New Roman"/>
                <w:b/>
                <w:sz w:val="24"/>
              </w:rPr>
              <w:t>Обоснование</w:t>
            </w:r>
          </w:p>
        </w:tc>
      </w:tr>
      <w:tr>
        <w:tc>
          <w:tcPr>
            <w:tcW w:type="dxa" w:w="1701"/>
          </w:tcPr>
          <w:p>
            <w:pPr>
              <w:spacing w:before="0" w:after="0" w:line="240" w:lineRule="auto"/>
              <w:ind w:firstLine="0"/>
              <w:jc w:val="left"/>
            </w:pPr>
            <w:r/>
            <w:r>
              <w:rPr>
                <w:rFonts w:ascii="Times New Roman" w:hAnsi="Times New Roman"/>
                <w:b w:val="0"/>
                <w:sz w:val="24"/>
              </w:rPr>
              <w:t>Серверная часть</w:t>
            </w:r>
          </w:p>
        </w:tc>
        <w:tc>
          <w:tcPr>
            <w:tcW w:type="dxa" w:w="2494"/>
          </w:tcPr>
          <w:p>
            <w:pPr>
              <w:spacing w:before="0" w:after="0" w:line="240" w:lineRule="auto"/>
              <w:ind w:firstLine="0"/>
              <w:jc w:val="left"/>
            </w:pPr>
            <w:r/>
            <w:r>
              <w:rPr>
                <w:rFonts w:ascii="Times New Roman" w:hAnsi="Times New Roman"/>
                <w:b w:val="0"/>
                <w:sz w:val="24"/>
              </w:rPr>
              <w:t>Python, FastAPI, Pydantic</w:t>
            </w:r>
          </w:p>
        </w:tc>
        <w:tc>
          <w:tcPr>
            <w:tcW w:type="dxa" w:w="5159"/>
          </w:tcPr>
          <w:p>
            <w:pPr>
              <w:spacing w:before="0" w:after="0" w:line="240" w:lineRule="auto"/>
              <w:ind w:firstLine="0"/>
              <w:jc w:val="left"/>
            </w:pPr>
            <w:r/>
            <w:r>
              <w:rPr>
                <w:rFonts w:ascii="Times New Roman" w:hAnsi="Times New Roman"/>
                <w:b w:val="0"/>
                <w:sz w:val="24"/>
              </w:rPr>
              <w:t>Свободное ПО; высокая скорость разработки; автоматическая документация API</w:t>
            </w:r>
          </w:p>
        </w:tc>
      </w:tr>
      <w:tr>
        <w:tc>
          <w:tcPr>
            <w:tcW w:type="dxa" w:w="1701"/>
          </w:tcPr>
          <w:p>
            <w:pPr>
              <w:spacing w:before="0" w:after="0" w:line="240" w:lineRule="auto"/>
              <w:ind w:firstLine="0"/>
              <w:jc w:val="left"/>
            </w:pPr>
            <w:r/>
            <w:r>
              <w:rPr>
                <w:rFonts w:ascii="Times New Roman" w:hAnsi="Times New Roman"/>
                <w:b w:val="0"/>
                <w:sz w:val="24"/>
              </w:rPr>
              <w:t>База данных</w:t>
            </w:r>
          </w:p>
        </w:tc>
        <w:tc>
          <w:tcPr>
            <w:tcW w:type="dxa" w:w="2494"/>
          </w:tcPr>
          <w:p>
            <w:pPr>
              <w:spacing w:before="0" w:after="0" w:line="240" w:lineRule="auto"/>
              <w:ind w:firstLine="0"/>
              <w:jc w:val="left"/>
            </w:pPr>
            <w:r/>
            <w:r>
              <w:rPr>
                <w:rFonts w:ascii="Times New Roman" w:hAnsi="Times New Roman"/>
                <w:b w:val="0"/>
                <w:sz w:val="24"/>
              </w:rPr>
              <w:t>PostgreSQL 16</w:t>
            </w:r>
          </w:p>
        </w:tc>
        <w:tc>
          <w:tcPr>
            <w:tcW w:type="dxa" w:w="5159"/>
          </w:tcPr>
          <w:p>
            <w:pPr>
              <w:spacing w:before="0" w:after="0" w:line="240" w:lineRule="auto"/>
              <w:ind w:firstLine="0"/>
              <w:jc w:val="left"/>
            </w:pPr>
            <w:r/>
            <w:r>
              <w:rPr>
                <w:rFonts w:ascii="Times New Roman" w:hAnsi="Times New Roman"/>
                <w:b w:val="0"/>
                <w:sz w:val="24"/>
              </w:rPr>
              <w:t>Свободная СУБД, входит в реестр отечественного ПО в составе российских сборок; поддержка триггеров и оконных функций для истории и статистики</w:t>
            </w:r>
          </w:p>
        </w:tc>
      </w:tr>
      <w:tr>
        <w:tc>
          <w:tcPr>
            <w:tcW w:type="dxa" w:w="1701"/>
          </w:tcPr>
          <w:p>
            <w:pPr>
              <w:spacing w:before="0" w:after="0" w:line="240" w:lineRule="auto"/>
              <w:ind w:firstLine="0"/>
              <w:jc w:val="left"/>
            </w:pPr>
            <w:r/>
            <w:r>
              <w:rPr>
                <w:rFonts w:ascii="Times New Roman" w:hAnsi="Times New Roman"/>
                <w:b w:val="0"/>
                <w:sz w:val="24"/>
              </w:rPr>
              <w:t>Миграции схемы</w:t>
            </w:r>
          </w:p>
        </w:tc>
        <w:tc>
          <w:tcPr>
            <w:tcW w:type="dxa" w:w="2494"/>
          </w:tcPr>
          <w:p>
            <w:pPr>
              <w:spacing w:before="0" w:after="0" w:line="240" w:lineRule="auto"/>
              <w:ind w:firstLine="0"/>
              <w:jc w:val="left"/>
            </w:pPr>
            <w:r/>
            <w:r>
              <w:rPr>
                <w:rFonts w:ascii="Times New Roman" w:hAnsi="Times New Roman"/>
                <w:b w:val="0"/>
                <w:sz w:val="24"/>
              </w:rPr>
              <w:t>Alembic, alembic-utils</w:t>
            </w:r>
          </w:p>
        </w:tc>
        <w:tc>
          <w:tcPr>
            <w:tcW w:type="dxa" w:w="5159"/>
          </w:tcPr>
          <w:p>
            <w:pPr>
              <w:spacing w:before="0" w:after="0" w:line="240" w:lineRule="auto"/>
              <w:ind w:firstLine="0"/>
              <w:jc w:val="left"/>
            </w:pPr>
            <w:r/>
            <w:r>
              <w:rPr>
                <w:rFonts w:ascii="Times New Roman" w:hAnsi="Times New Roman"/>
                <w:b w:val="0"/>
                <w:sz w:val="24"/>
              </w:rPr>
              <w:t>Версионирование схемы и триггеров в коде, воспроизводимое развёртывание</w:t>
            </w:r>
          </w:p>
        </w:tc>
      </w:tr>
      <w:tr>
        <w:tc>
          <w:tcPr>
            <w:tcW w:type="dxa" w:w="1701"/>
          </w:tcPr>
          <w:p>
            <w:pPr>
              <w:spacing w:before="0" w:after="0" w:line="240" w:lineRule="auto"/>
              <w:ind w:firstLine="0"/>
              <w:jc w:val="left"/>
            </w:pPr>
            <w:r/>
            <w:r>
              <w:rPr>
                <w:rFonts w:ascii="Times New Roman" w:hAnsi="Times New Roman"/>
                <w:b w:val="0"/>
                <w:sz w:val="24"/>
              </w:rPr>
              <w:t>Сбор данных</w:t>
            </w:r>
          </w:p>
        </w:tc>
        <w:tc>
          <w:tcPr>
            <w:tcW w:type="dxa" w:w="2494"/>
          </w:tcPr>
          <w:p>
            <w:pPr>
              <w:spacing w:before="0" w:after="0" w:line="240" w:lineRule="auto"/>
              <w:ind w:firstLine="0"/>
              <w:jc w:val="left"/>
            </w:pPr>
            <w:r/>
            <w:r>
              <w:rPr>
                <w:rFonts w:ascii="Times New Roman" w:hAnsi="Times New Roman"/>
                <w:b w:val="0"/>
                <w:sz w:val="24"/>
              </w:rPr>
              <w:t>aiohttp с повторными попытками, APScheduler</w:t>
            </w:r>
          </w:p>
        </w:tc>
        <w:tc>
          <w:tcPr>
            <w:tcW w:type="dxa" w:w="5159"/>
          </w:tcPr>
          <w:p>
            <w:pPr>
              <w:spacing w:before="0" w:after="0" w:line="240" w:lineRule="auto"/>
              <w:ind w:firstLine="0"/>
              <w:jc w:val="left"/>
            </w:pPr>
            <w:r/>
            <w:r>
              <w:rPr>
                <w:rFonts w:ascii="Times New Roman" w:hAnsi="Times New Roman"/>
                <w:b w:val="0"/>
                <w:sz w:val="24"/>
              </w:rPr>
              <w:t>Асинхронный сбор без избыточной нагрузки на источник</w:t>
            </w:r>
          </w:p>
        </w:tc>
      </w:tr>
      <w:tr>
        <w:tc>
          <w:tcPr>
            <w:tcW w:type="dxa" w:w="1701"/>
          </w:tcPr>
          <w:p>
            <w:pPr>
              <w:spacing w:before="0" w:after="0" w:line="240" w:lineRule="auto"/>
              <w:ind w:firstLine="0"/>
              <w:jc w:val="left"/>
            </w:pPr>
            <w:r/>
            <w:r>
              <w:rPr>
                <w:rFonts w:ascii="Times New Roman" w:hAnsi="Times New Roman"/>
                <w:b w:val="0"/>
                <w:sz w:val="24"/>
              </w:rPr>
              <w:t>Выгрузка отчётов</w:t>
            </w:r>
          </w:p>
        </w:tc>
        <w:tc>
          <w:tcPr>
            <w:tcW w:type="dxa" w:w="2494"/>
          </w:tcPr>
          <w:p>
            <w:pPr>
              <w:spacing w:before="0" w:after="0" w:line="240" w:lineRule="auto"/>
              <w:ind w:firstLine="0"/>
              <w:jc w:val="left"/>
            </w:pPr>
            <w:r/>
            <w:r>
              <w:rPr>
                <w:rFonts w:ascii="Times New Roman" w:hAnsi="Times New Roman"/>
                <w:b w:val="0"/>
                <w:sz w:val="24"/>
              </w:rPr>
              <w:t>polars, xlsxwriter</w:t>
            </w:r>
          </w:p>
        </w:tc>
        <w:tc>
          <w:tcPr>
            <w:tcW w:type="dxa" w:w="5159"/>
          </w:tcPr>
          <w:p>
            <w:pPr>
              <w:spacing w:before="0" w:after="0" w:line="240" w:lineRule="auto"/>
              <w:ind w:firstLine="0"/>
              <w:jc w:val="left"/>
            </w:pPr>
            <w:r/>
            <w:r>
              <w:rPr>
                <w:rFonts w:ascii="Times New Roman" w:hAnsi="Times New Roman"/>
                <w:b w:val="0"/>
                <w:sz w:val="24"/>
              </w:rPr>
              <w:t>Формирование Excel-файла на 1 715 строк без загрузки данных в память построчно</w:t>
            </w:r>
          </w:p>
        </w:tc>
      </w:tr>
      <w:tr>
        <w:tc>
          <w:tcPr>
            <w:tcW w:type="dxa" w:w="1701"/>
          </w:tcPr>
          <w:p>
            <w:pPr>
              <w:spacing w:before="0" w:after="0" w:line="240" w:lineRule="auto"/>
              <w:ind w:firstLine="0"/>
              <w:jc w:val="left"/>
            </w:pPr>
            <w:r/>
            <w:r>
              <w:rPr>
                <w:rFonts w:ascii="Times New Roman" w:hAnsi="Times New Roman"/>
                <w:b w:val="0"/>
                <w:sz w:val="24"/>
              </w:rPr>
              <w:t>Клиентская часть</w:t>
            </w:r>
          </w:p>
        </w:tc>
        <w:tc>
          <w:tcPr>
            <w:tcW w:type="dxa" w:w="2494"/>
          </w:tcPr>
          <w:p>
            <w:pPr>
              <w:spacing w:before="0" w:after="0" w:line="240" w:lineRule="auto"/>
              <w:ind w:firstLine="0"/>
              <w:jc w:val="left"/>
            </w:pPr>
            <w:r/>
            <w:r>
              <w:rPr>
                <w:rFonts w:ascii="Times New Roman" w:hAnsi="Times New Roman"/>
                <w:b w:val="0"/>
                <w:sz w:val="24"/>
              </w:rPr>
              <w:t>React, TypeScript, Vite, Tailwind CSS</w:t>
            </w:r>
          </w:p>
        </w:tc>
        <w:tc>
          <w:tcPr>
            <w:tcW w:type="dxa" w:w="5159"/>
          </w:tcPr>
          <w:p>
            <w:pPr>
              <w:spacing w:before="0" w:after="0" w:line="240" w:lineRule="auto"/>
              <w:ind w:firstLine="0"/>
              <w:jc w:val="left"/>
            </w:pPr>
            <w:r/>
            <w:r>
              <w:rPr>
                <w:rFonts w:ascii="Times New Roman" w:hAnsi="Times New Roman"/>
                <w:b w:val="0"/>
                <w:sz w:val="24"/>
              </w:rPr>
              <w:t>Свободное ПО; единая сборка для веб-, PWA- и мобильного клиента</w:t>
            </w:r>
          </w:p>
        </w:tc>
      </w:tr>
      <w:tr>
        <w:tc>
          <w:tcPr>
            <w:tcW w:type="dxa" w:w="1701"/>
          </w:tcPr>
          <w:p>
            <w:pPr>
              <w:spacing w:before="0" w:after="0" w:line="240" w:lineRule="auto"/>
              <w:ind w:firstLine="0"/>
              <w:jc w:val="left"/>
            </w:pPr>
            <w:r/>
            <w:r>
              <w:rPr>
                <w:rFonts w:ascii="Times New Roman" w:hAnsi="Times New Roman"/>
                <w:b w:val="0"/>
                <w:sz w:val="24"/>
              </w:rPr>
              <w:t>Мобильное приложение</w:t>
            </w:r>
          </w:p>
        </w:tc>
        <w:tc>
          <w:tcPr>
            <w:tcW w:type="dxa" w:w="2494"/>
          </w:tcPr>
          <w:p>
            <w:pPr>
              <w:spacing w:before="0" w:after="0" w:line="240" w:lineRule="auto"/>
              <w:ind w:firstLine="0"/>
              <w:jc w:val="left"/>
            </w:pPr>
            <w:r/>
            <w:r>
              <w:rPr>
                <w:rFonts w:ascii="Times New Roman" w:hAnsi="Times New Roman"/>
                <w:b w:val="0"/>
                <w:sz w:val="24"/>
              </w:rPr>
              <w:t>Capacitor (Android)</w:t>
            </w:r>
          </w:p>
        </w:tc>
        <w:tc>
          <w:tcPr>
            <w:tcW w:type="dxa" w:w="5159"/>
          </w:tcPr>
          <w:p>
            <w:pPr>
              <w:spacing w:before="0" w:after="0" w:line="240" w:lineRule="auto"/>
              <w:ind w:firstLine="0"/>
              <w:jc w:val="left"/>
            </w:pPr>
            <w:r/>
            <w:r>
              <w:rPr>
                <w:rFonts w:ascii="Times New Roman" w:hAnsi="Times New Roman"/>
                <w:b w:val="0"/>
                <w:sz w:val="24"/>
              </w:rPr>
              <w:t>Повторное использование веб-сборки вместо отдельной разработки — экономия трудозатрат</w:t>
            </w:r>
          </w:p>
        </w:tc>
      </w:tr>
      <w:tr>
        <w:tc>
          <w:tcPr>
            <w:tcW w:type="dxa" w:w="1701"/>
          </w:tcPr>
          <w:p>
            <w:pPr>
              <w:spacing w:before="0" w:after="0" w:line="240" w:lineRule="auto"/>
              <w:ind w:firstLine="0"/>
              <w:jc w:val="left"/>
            </w:pPr>
            <w:r/>
            <w:r>
              <w:rPr>
                <w:rFonts w:ascii="Times New Roman" w:hAnsi="Times New Roman"/>
                <w:b w:val="0"/>
                <w:sz w:val="24"/>
              </w:rPr>
              <w:t>Развёртывание</w:t>
            </w:r>
          </w:p>
        </w:tc>
        <w:tc>
          <w:tcPr>
            <w:tcW w:type="dxa" w:w="2494"/>
          </w:tcPr>
          <w:p>
            <w:pPr>
              <w:spacing w:before="0" w:after="0" w:line="240" w:lineRule="auto"/>
              <w:ind w:firstLine="0"/>
              <w:jc w:val="left"/>
            </w:pPr>
            <w:r/>
            <w:r>
              <w:rPr>
                <w:rFonts w:ascii="Times New Roman" w:hAnsi="Times New Roman"/>
                <w:b w:val="0"/>
                <w:sz w:val="24"/>
              </w:rPr>
              <w:t>Docker Compose, nginx, Linux</w:t>
            </w:r>
          </w:p>
        </w:tc>
        <w:tc>
          <w:tcPr>
            <w:tcW w:type="dxa" w:w="5159"/>
          </w:tcPr>
          <w:p>
            <w:pPr>
              <w:spacing w:before="0" w:after="0" w:line="240" w:lineRule="auto"/>
              <w:ind w:firstLine="0"/>
              <w:jc w:val="left"/>
            </w:pPr>
            <w:r/>
            <w:r>
              <w:rPr>
                <w:rFonts w:ascii="Times New Roman" w:hAnsi="Times New Roman"/>
                <w:b w:val="0"/>
                <w:sz w:val="24"/>
              </w:rPr>
              <w:t>Воспроизводимое развёртывание в инфраструктуре заказчика; автоматическое применение миграций при старте</w:t>
            </w:r>
          </w:p>
        </w:tc>
      </w:tr>
      <w:tr>
        <w:tc>
          <w:tcPr>
            <w:tcW w:type="dxa" w:w="1701"/>
          </w:tcPr>
          <w:p>
            <w:pPr>
              <w:spacing w:before="0" w:after="0" w:line="240" w:lineRule="auto"/>
              <w:ind w:firstLine="0"/>
              <w:jc w:val="left"/>
            </w:pPr>
            <w:r/>
            <w:r>
              <w:rPr>
                <w:rFonts w:ascii="Times New Roman" w:hAnsi="Times New Roman"/>
                <w:b w:val="0"/>
                <w:sz w:val="24"/>
              </w:rPr>
              <w:t>Тестирование</w:t>
            </w:r>
          </w:p>
        </w:tc>
        <w:tc>
          <w:tcPr>
            <w:tcW w:type="dxa" w:w="2494"/>
          </w:tcPr>
          <w:p>
            <w:pPr>
              <w:spacing w:before="0" w:after="0" w:line="240" w:lineRule="auto"/>
              <w:ind w:firstLine="0"/>
              <w:jc w:val="left"/>
            </w:pPr>
            <w:r/>
            <w:r>
              <w:rPr>
                <w:rFonts w:ascii="Times New Roman" w:hAnsi="Times New Roman"/>
                <w:b w:val="0"/>
                <w:sz w:val="24"/>
              </w:rPr>
              <w:t>pytest, testcontainers</w:t>
            </w:r>
          </w:p>
        </w:tc>
        <w:tc>
          <w:tcPr>
            <w:tcW w:type="dxa" w:w="5159"/>
          </w:tcPr>
          <w:p>
            <w:pPr>
              <w:spacing w:before="0" w:after="0" w:line="240" w:lineRule="auto"/>
              <w:ind w:firstLine="0"/>
              <w:jc w:val="left"/>
            </w:pPr>
            <w:r/>
            <w:r>
              <w:rPr>
                <w:rFonts w:ascii="Times New Roman" w:hAnsi="Times New Roman"/>
                <w:b w:val="0"/>
                <w:sz w:val="24"/>
              </w:rPr>
              <w:t>62 автоматических теста против реальной СУБД в контейнере</w:t>
            </w:r>
          </w:p>
        </w:tc>
      </w:tr>
    </w:tbl>
    <w:p>
      <w:pPr>
        <w:spacing w:before="0" w:after="0" w:line="360" w:lineRule="auto"/>
        <w:ind w:firstLine="0"/>
      </w:pPr>
    </w:p>
    <w:p>
      <w:pPr>
        <w:spacing w:before="0" w:after="0" w:line="360" w:lineRule="auto"/>
        <w:ind w:firstLine="709"/>
        <w:jc w:val="both"/>
      </w:pPr>
      <w:r>
        <w:rPr>
          <w:b w:val="0"/>
        </w:rPr>
        <w:t>4. Оценка трудоёмкости и ресурсов для разработки</w:t>
      </w:r>
    </w:p>
    <w:p>
      <w:pPr>
        <w:spacing w:before="0" w:after="0" w:line="360" w:lineRule="auto"/>
        <w:ind w:firstLine="709"/>
        <w:jc w:val="both"/>
      </w:pPr>
      <w:r>
        <w:rPr>
          <w:b w:val="0"/>
        </w:rPr>
        <w:t>Оценка трудоёмкости выполнена по этапам, соответствующим стадиям создания автоматизированной системы согласно ГОСТ 34.601-90 [12]. Базой для оценки послужил фактический объём реализации: 2 614 строк кода серверной части на языке Python, 1 036 строк запросов SQL, 1 190 строк автоматических тестов (62 теста) и 6 629 строк кода клиентской части на TypeScript — всего около 11,5 тыс. строк. При нормативной производительности 10–12 строк готового и протестированного кода в час для систем этого класса общая трудоёмкость программирования и тестирования составляет около 980 человеко-часов, к которым добавляются работы по анализу, проектированию и развёртыванию. Ставки специалистов приняты на уровне среднерыночных для Москвы по состоянию на 2026 год. Расчёт фонда оплаты труда приведён в таблице 2.3.</w:t>
      </w:r>
    </w:p>
    <w:p>
      <w:pPr>
        <w:spacing w:before="120" w:after="0" w:line="240" w:lineRule="auto"/>
        <w:ind w:firstLine="0"/>
        <w:jc w:val="left"/>
      </w:pPr>
      <w:r>
        <w:rPr>
          <w:b w:val="0"/>
        </w:rPr>
        <w:t>Таблица 2.3 – Оценка трудозатрат на разработку программного продукта «mosres»</w:t>
      </w:r>
    </w:p>
    <w:tbl>
      <w:tblPr>
        <w:tblStyle w:val="TableGrid"/>
        <w:tblW w:type="auto" w:w="0"/>
        <w:jc w:val="center"/>
        <w:tblLayout w:type="autofit"/>
        <w:tblLook w:firstColumn="1" w:firstRow="1" w:lastColumn="0" w:lastRow="0" w:noHBand="0" w:noVBand="1" w:val="04A0"/>
      </w:tblPr>
      <w:tblGrid>
        <w:gridCol w:w="1559"/>
        <w:gridCol w:w="1559"/>
        <w:gridCol w:w="1559"/>
        <w:gridCol w:w="1559"/>
        <w:gridCol w:w="1559"/>
        <w:gridCol w:w="1559"/>
      </w:tblGrid>
      <w:tr>
        <w:tc>
          <w:tcPr>
            <w:tcW w:type="dxa" w:w="680"/>
          </w:tcPr>
          <w:p>
            <w:pPr>
              <w:spacing w:before="0" w:after="0" w:line="240" w:lineRule="auto"/>
              <w:ind w:firstLine="0"/>
              <w:jc w:val="center"/>
            </w:pPr>
            <w:r/>
            <w:r>
              <w:rPr>
                <w:rFonts w:ascii="Times New Roman" w:hAnsi="Times New Roman"/>
                <w:b/>
                <w:sz w:val="24"/>
              </w:rPr>
              <w:t>№ п/п</w:t>
            </w:r>
          </w:p>
        </w:tc>
        <w:tc>
          <w:tcPr>
            <w:tcW w:type="dxa" w:w="3402"/>
          </w:tcPr>
          <w:p>
            <w:pPr>
              <w:spacing w:before="0" w:after="0" w:line="240" w:lineRule="auto"/>
              <w:ind w:firstLine="0"/>
              <w:jc w:val="center"/>
            </w:pPr>
            <w:r/>
            <w:r>
              <w:rPr>
                <w:rFonts w:ascii="Times New Roman" w:hAnsi="Times New Roman"/>
                <w:b/>
                <w:sz w:val="24"/>
              </w:rPr>
              <w:t>Этап разработки</w:t>
            </w:r>
          </w:p>
        </w:tc>
        <w:tc>
          <w:tcPr>
            <w:tcW w:type="dxa" w:w="1474"/>
          </w:tcPr>
          <w:p>
            <w:pPr>
              <w:spacing w:before="0" w:after="0" w:line="240" w:lineRule="auto"/>
              <w:ind w:firstLine="0"/>
              <w:jc w:val="center"/>
            </w:pPr>
            <w:r/>
            <w:r>
              <w:rPr>
                <w:rFonts w:ascii="Times New Roman" w:hAnsi="Times New Roman"/>
                <w:b/>
                <w:sz w:val="24"/>
              </w:rPr>
              <w:t>Ответственная роль</w:t>
            </w:r>
          </w:p>
        </w:tc>
        <w:tc>
          <w:tcPr>
            <w:tcW w:type="dxa" w:w="1020"/>
          </w:tcPr>
          <w:p>
            <w:pPr>
              <w:spacing w:before="0" w:after="0" w:line="240" w:lineRule="auto"/>
              <w:ind w:firstLine="0"/>
              <w:jc w:val="center"/>
            </w:pPr>
            <w:r/>
            <w:r>
              <w:rPr>
                <w:rFonts w:ascii="Times New Roman" w:hAnsi="Times New Roman"/>
                <w:b/>
                <w:sz w:val="24"/>
              </w:rPr>
              <w:t>Трудозатраты, час</w:t>
            </w:r>
          </w:p>
        </w:tc>
        <w:tc>
          <w:tcPr>
            <w:tcW w:type="dxa" w:w="1020"/>
          </w:tcPr>
          <w:p>
            <w:pPr>
              <w:spacing w:before="0" w:after="0" w:line="240" w:lineRule="auto"/>
              <w:ind w:firstLine="0"/>
              <w:jc w:val="center"/>
            </w:pPr>
            <w:r/>
            <w:r>
              <w:rPr>
                <w:rFonts w:ascii="Times New Roman" w:hAnsi="Times New Roman"/>
                <w:b/>
                <w:sz w:val="24"/>
              </w:rPr>
              <w:t>Ставка, руб./час</w:t>
            </w:r>
          </w:p>
        </w:tc>
        <w:tc>
          <w:tcPr>
            <w:tcW w:type="dxa" w:w="1191"/>
          </w:tcPr>
          <w:p>
            <w:pPr>
              <w:spacing w:before="0" w:after="0" w:line="240" w:lineRule="auto"/>
              <w:ind w:firstLine="0"/>
              <w:jc w:val="center"/>
            </w:pPr>
            <w:r/>
            <w:r>
              <w:rPr>
                <w:rFonts w:ascii="Times New Roman" w:hAnsi="Times New Roman"/>
                <w:b/>
                <w:sz w:val="24"/>
              </w:rPr>
              <w:t>Стоимость, руб.</w:t>
            </w:r>
          </w:p>
        </w:tc>
      </w:tr>
      <w:tr>
        <w:tc>
          <w:tcPr>
            <w:tcW w:type="dxa" w:w="680"/>
          </w:tcPr>
          <w:p>
            <w:pPr>
              <w:spacing w:before="0" w:after="0" w:line="240" w:lineRule="auto"/>
              <w:ind w:firstLine="0"/>
              <w:jc w:val="left"/>
            </w:pPr>
            <w:r/>
            <w:r>
              <w:rPr>
                <w:rFonts w:ascii="Times New Roman" w:hAnsi="Times New Roman"/>
                <w:b w:val="0"/>
                <w:sz w:val="24"/>
              </w:rPr>
              <w:t>1</w:t>
            </w:r>
          </w:p>
        </w:tc>
        <w:tc>
          <w:tcPr>
            <w:tcW w:type="dxa" w:w="3402"/>
          </w:tcPr>
          <w:p>
            <w:pPr>
              <w:spacing w:before="0" w:after="0" w:line="240" w:lineRule="auto"/>
              <w:ind w:firstLine="0"/>
              <w:jc w:val="left"/>
            </w:pPr>
            <w:r/>
            <w:r>
              <w:rPr>
                <w:rFonts w:ascii="Times New Roman" w:hAnsi="Times New Roman"/>
                <w:b w:val="0"/>
                <w:sz w:val="24"/>
              </w:rPr>
              <w:t>Анализ и проектирование (формирование требований, разработка концепции, техническое задание)</w:t>
            </w:r>
          </w:p>
        </w:tc>
        <w:tc>
          <w:tcPr>
            <w:tcW w:type="dxa" w:w="1474"/>
          </w:tcPr>
          <w:p>
            <w:pPr>
              <w:spacing w:before="0" w:after="0" w:line="240" w:lineRule="auto"/>
              <w:ind w:firstLine="0"/>
              <w:jc w:val="left"/>
            </w:pPr>
            <w:r/>
            <w:r>
              <w:rPr>
                <w:rFonts w:ascii="Times New Roman" w:hAnsi="Times New Roman"/>
                <w:b w:val="0"/>
                <w:sz w:val="24"/>
              </w:rPr>
              <w:t>Бизнес-аналитик</w:t>
            </w:r>
          </w:p>
        </w:tc>
        <w:tc>
          <w:tcPr>
            <w:tcW w:type="dxa" w:w="1020"/>
          </w:tcPr>
          <w:p>
            <w:pPr>
              <w:spacing w:before="0" w:after="0" w:line="240" w:lineRule="auto"/>
              <w:ind w:firstLine="0"/>
              <w:jc w:val="left"/>
            </w:pPr>
            <w:r/>
            <w:r>
              <w:rPr>
                <w:rFonts w:ascii="Times New Roman" w:hAnsi="Times New Roman"/>
                <w:b w:val="0"/>
                <w:sz w:val="24"/>
              </w:rPr>
              <w:t>80</w:t>
            </w:r>
          </w:p>
        </w:tc>
        <w:tc>
          <w:tcPr>
            <w:tcW w:type="dxa" w:w="1020"/>
          </w:tcPr>
          <w:p>
            <w:pPr>
              <w:spacing w:before="0" w:after="0" w:line="240" w:lineRule="auto"/>
              <w:ind w:firstLine="0"/>
              <w:jc w:val="left"/>
            </w:pPr>
            <w:r/>
            <w:r>
              <w:rPr>
                <w:rFonts w:ascii="Times New Roman" w:hAnsi="Times New Roman"/>
                <w:b w:val="0"/>
                <w:sz w:val="24"/>
              </w:rPr>
              <w:t>1 500</w:t>
            </w:r>
          </w:p>
        </w:tc>
        <w:tc>
          <w:tcPr>
            <w:tcW w:type="dxa" w:w="1191"/>
          </w:tcPr>
          <w:p>
            <w:pPr>
              <w:spacing w:before="0" w:after="0" w:line="240" w:lineRule="auto"/>
              <w:ind w:firstLine="0"/>
              <w:jc w:val="left"/>
            </w:pPr>
            <w:r/>
            <w:r>
              <w:rPr>
                <w:rFonts w:ascii="Times New Roman" w:hAnsi="Times New Roman"/>
                <w:b w:val="0"/>
                <w:sz w:val="24"/>
              </w:rPr>
              <w:t>120 000</w:t>
            </w:r>
          </w:p>
        </w:tc>
      </w:tr>
      <w:tr>
        <w:tc>
          <w:tcPr>
            <w:tcW w:type="dxa" w:w="680"/>
          </w:tcPr>
          <w:p>
            <w:pPr>
              <w:spacing w:before="0" w:after="0" w:line="240" w:lineRule="auto"/>
              <w:ind w:firstLine="0"/>
              <w:jc w:val="left"/>
            </w:pPr>
            <w:r/>
            <w:r>
              <w:rPr>
                <w:rFonts w:ascii="Times New Roman" w:hAnsi="Times New Roman"/>
                <w:b w:val="0"/>
                <w:sz w:val="24"/>
              </w:rPr>
              <w:t>2</w:t>
            </w:r>
          </w:p>
        </w:tc>
        <w:tc>
          <w:tcPr>
            <w:tcW w:type="dxa" w:w="3402"/>
          </w:tcPr>
          <w:p>
            <w:pPr>
              <w:spacing w:before="0" w:after="0" w:line="240" w:lineRule="auto"/>
              <w:ind w:firstLine="0"/>
              <w:jc w:val="left"/>
            </w:pPr>
            <w:r/>
            <w:r>
              <w:rPr>
                <w:rFonts w:ascii="Times New Roman" w:hAnsi="Times New Roman"/>
                <w:b w:val="0"/>
                <w:sz w:val="24"/>
              </w:rPr>
              <w:t>Дизайн интерфейса (9 экранов, мобильная адаптация)</w:t>
            </w:r>
          </w:p>
        </w:tc>
        <w:tc>
          <w:tcPr>
            <w:tcW w:type="dxa" w:w="1474"/>
          </w:tcPr>
          <w:p>
            <w:pPr>
              <w:spacing w:before="0" w:after="0" w:line="240" w:lineRule="auto"/>
              <w:ind w:firstLine="0"/>
              <w:jc w:val="left"/>
            </w:pPr>
            <w:r/>
            <w:r>
              <w:rPr>
                <w:rFonts w:ascii="Times New Roman" w:hAnsi="Times New Roman"/>
                <w:b w:val="0"/>
                <w:sz w:val="24"/>
              </w:rPr>
              <w:t>UX/UI-дизайнер</w:t>
            </w:r>
          </w:p>
        </w:tc>
        <w:tc>
          <w:tcPr>
            <w:tcW w:type="dxa" w:w="1020"/>
          </w:tcPr>
          <w:p>
            <w:pPr>
              <w:spacing w:before="0" w:after="0" w:line="240" w:lineRule="auto"/>
              <w:ind w:firstLine="0"/>
              <w:jc w:val="left"/>
            </w:pPr>
            <w:r/>
            <w:r>
              <w:rPr>
                <w:rFonts w:ascii="Times New Roman" w:hAnsi="Times New Roman"/>
                <w:b w:val="0"/>
                <w:sz w:val="24"/>
              </w:rPr>
              <w:t>100</w:t>
            </w:r>
          </w:p>
        </w:tc>
        <w:tc>
          <w:tcPr>
            <w:tcW w:type="dxa" w:w="1020"/>
          </w:tcPr>
          <w:p>
            <w:pPr>
              <w:spacing w:before="0" w:after="0" w:line="240" w:lineRule="auto"/>
              <w:ind w:firstLine="0"/>
              <w:jc w:val="left"/>
            </w:pPr>
            <w:r/>
            <w:r>
              <w:rPr>
                <w:rFonts w:ascii="Times New Roman" w:hAnsi="Times New Roman"/>
                <w:b w:val="0"/>
                <w:sz w:val="24"/>
              </w:rPr>
              <w:t>1 800</w:t>
            </w:r>
          </w:p>
        </w:tc>
        <w:tc>
          <w:tcPr>
            <w:tcW w:type="dxa" w:w="1191"/>
          </w:tcPr>
          <w:p>
            <w:pPr>
              <w:spacing w:before="0" w:after="0" w:line="240" w:lineRule="auto"/>
              <w:ind w:firstLine="0"/>
              <w:jc w:val="left"/>
            </w:pPr>
            <w:r/>
            <w:r>
              <w:rPr>
                <w:rFonts w:ascii="Times New Roman" w:hAnsi="Times New Roman"/>
                <w:b w:val="0"/>
                <w:sz w:val="24"/>
              </w:rPr>
              <w:t>180 000</w:t>
            </w:r>
          </w:p>
        </w:tc>
      </w:tr>
      <w:tr>
        <w:tc>
          <w:tcPr>
            <w:tcW w:type="dxa" w:w="680"/>
          </w:tcPr>
          <w:p>
            <w:pPr>
              <w:spacing w:before="0" w:after="0" w:line="240" w:lineRule="auto"/>
              <w:ind w:firstLine="0"/>
              <w:jc w:val="left"/>
            </w:pPr>
            <w:r/>
            <w:r>
              <w:rPr>
                <w:rFonts w:ascii="Times New Roman" w:hAnsi="Times New Roman"/>
                <w:b w:val="0"/>
                <w:sz w:val="24"/>
              </w:rPr>
              <w:t>3</w:t>
            </w:r>
          </w:p>
        </w:tc>
        <w:tc>
          <w:tcPr>
            <w:tcW w:type="dxa" w:w="3402"/>
          </w:tcPr>
          <w:p>
            <w:pPr>
              <w:spacing w:before="0" w:after="0" w:line="240" w:lineRule="auto"/>
              <w:ind w:firstLine="0"/>
              <w:jc w:val="left"/>
            </w:pPr>
            <w:r/>
            <w:r>
              <w:rPr>
                <w:rFonts w:ascii="Times New Roman" w:hAnsi="Times New Roman"/>
                <w:b w:val="0"/>
                <w:sz w:val="24"/>
              </w:rPr>
              <w:t>Программирование серверной части (сбор данных, версионирование, API, аналитические запросы)</w:t>
            </w:r>
          </w:p>
        </w:tc>
        <w:tc>
          <w:tcPr>
            <w:tcW w:type="dxa" w:w="1474"/>
          </w:tcPr>
          <w:p>
            <w:pPr>
              <w:spacing w:before="0" w:after="0" w:line="240" w:lineRule="auto"/>
              <w:ind w:firstLine="0"/>
              <w:jc w:val="left"/>
            </w:pPr>
            <w:r/>
            <w:r>
              <w:rPr>
                <w:rFonts w:ascii="Times New Roman" w:hAnsi="Times New Roman"/>
                <w:b w:val="0"/>
                <w:sz w:val="24"/>
              </w:rPr>
              <w:t>Backend-разработчик</w:t>
            </w:r>
          </w:p>
        </w:tc>
        <w:tc>
          <w:tcPr>
            <w:tcW w:type="dxa" w:w="1020"/>
          </w:tcPr>
          <w:p>
            <w:pPr>
              <w:spacing w:before="0" w:after="0" w:line="240" w:lineRule="auto"/>
              <w:ind w:firstLine="0"/>
              <w:jc w:val="left"/>
            </w:pPr>
            <w:r/>
            <w:r>
              <w:rPr>
                <w:rFonts w:ascii="Times New Roman" w:hAnsi="Times New Roman"/>
                <w:b w:val="0"/>
                <w:sz w:val="24"/>
              </w:rPr>
              <w:t>420</w:t>
            </w:r>
          </w:p>
        </w:tc>
        <w:tc>
          <w:tcPr>
            <w:tcW w:type="dxa" w:w="1020"/>
          </w:tcPr>
          <w:p>
            <w:pPr>
              <w:spacing w:before="0" w:after="0" w:line="240" w:lineRule="auto"/>
              <w:ind w:firstLine="0"/>
              <w:jc w:val="left"/>
            </w:pPr>
            <w:r/>
            <w:r>
              <w:rPr>
                <w:rFonts w:ascii="Times New Roman" w:hAnsi="Times New Roman"/>
                <w:b w:val="0"/>
                <w:sz w:val="24"/>
              </w:rPr>
              <w:t>2 200</w:t>
            </w:r>
          </w:p>
        </w:tc>
        <w:tc>
          <w:tcPr>
            <w:tcW w:type="dxa" w:w="1191"/>
          </w:tcPr>
          <w:p>
            <w:pPr>
              <w:spacing w:before="0" w:after="0" w:line="240" w:lineRule="auto"/>
              <w:ind w:firstLine="0"/>
              <w:jc w:val="left"/>
            </w:pPr>
            <w:r/>
            <w:r>
              <w:rPr>
                <w:rFonts w:ascii="Times New Roman" w:hAnsi="Times New Roman"/>
                <w:b w:val="0"/>
                <w:sz w:val="24"/>
              </w:rPr>
              <w:t>924 000</w:t>
            </w:r>
          </w:p>
        </w:tc>
      </w:tr>
      <w:tr>
        <w:tc>
          <w:tcPr>
            <w:tcW w:type="dxa" w:w="680"/>
          </w:tcPr>
          <w:p>
            <w:pPr>
              <w:spacing w:before="0" w:after="0" w:line="240" w:lineRule="auto"/>
              <w:ind w:firstLine="0"/>
              <w:jc w:val="left"/>
            </w:pPr>
            <w:r/>
            <w:r>
              <w:rPr>
                <w:rFonts w:ascii="Times New Roman" w:hAnsi="Times New Roman"/>
                <w:b w:val="0"/>
                <w:sz w:val="24"/>
              </w:rPr>
              <w:t>4</w:t>
            </w:r>
          </w:p>
        </w:tc>
        <w:tc>
          <w:tcPr>
            <w:tcW w:type="dxa" w:w="3402"/>
          </w:tcPr>
          <w:p>
            <w:pPr>
              <w:spacing w:before="0" w:after="0" w:line="240" w:lineRule="auto"/>
              <w:ind w:firstLine="0"/>
              <w:jc w:val="left"/>
            </w:pPr>
            <w:r/>
            <w:r>
              <w:rPr>
                <w:rFonts w:ascii="Times New Roman" w:hAnsi="Times New Roman"/>
                <w:b w:val="0"/>
                <w:sz w:val="24"/>
              </w:rPr>
              <w:t>Программирование клиентской части (веб-приложение, графики, ипотечный модуль, мобильная сборка)</w:t>
            </w:r>
          </w:p>
        </w:tc>
        <w:tc>
          <w:tcPr>
            <w:tcW w:type="dxa" w:w="1474"/>
          </w:tcPr>
          <w:p>
            <w:pPr>
              <w:spacing w:before="0" w:after="0" w:line="240" w:lineRule="auto"/>
              <w:ind w:firstLine="0"/>
              <w:jc w:val="left"/>
            </w:pPr>
            <w:r/>
            <w:r>
              <w:rPr>
                <w:rFonts w:ascii="Times New Roman" w:hAnsi="Times New Roman"/>
                <w:b w:val="0"/>
                <w:sz w:val="24"/>
              </w:rPr>
              <w:t>Frontend-разработчик</w:t>
            </w:r>
          </w:p>
        </w:tc>
        <w:tc>
          <w:tcPr>
            <w:tcW w:type="dxa" w:w="1020"/>
          </w:tcPr>
          <w:p>
            <w:pPr>
              <w:spacing w:before="0" w:after="0" w:line="240" w:lineRule="auto"/>
              <w:ind w:firstLine="0"/>
              <w:jc w:val="left"/>
            </w:pPr>
            <w:r/>
            <w:r>
              <w:rPr>
                <w:rFonts w:ascii="Times New Roman" w:hAnsi="Times New Roman"/>
                <w:b w:val="0"/>
                <w:sz w:val="24"/>
              </w:rPr>
              <w:t>380</w:t>
            </w:r>
          </w:p>
        </w:tc>
        <w:tc>
          <w:tcPr>
            <w:tcW w:type="dxa" w:w="1020"/>
          </w:tcPr>
          <w:p>
            <w:pPr>
              <w:spacing w:before="0" w:after="0" w:line="240" w:lineRule="auto"/>
              <w:ind w:firstLine="0"/>
              <w:jc w:val="left"/>
            </w:pPr>
            <w:r/>
            <w:r>
              <w:rPr>
                <w:rFonts w:ascii="Times New Roman" w:hAnsi="Times New Roman"/>
                <w:b w:val="0"/>
                <w:sz w:val="24"/>
              </w:rPr>
              <w:t>2 000</w:t>
            </w:r>
          </w:p>
        </w:tc>
        <w:tc>
          <w:tcPr>
            <w:tcW w:type="dxa" w:w="1191"/>
          </w:tcPr>
          <w:p>
            <w:pPr>
              <w:spacing w:before="0" w:after="0" w:line="240" w:lineRule="auto"/>
              <w:ind w:firstLine="0"/>
              <w:jc w:val="left"/>
            </w:pPr>
            <w:r/>
            <w:r>
              <w:rPr>
                <w:rFonts w:ascii="Times New Roman" w:hAnsi="Times New Roman"/>
                <w:b w:val="0"/>
                <w:sz w:val="24"/>
              </w:rPr>
              <w:t>760 000</w:t>
            </w:r>
          </w:p>
        </w:tc>
      </w:tr>
      <w:tr>
        <w:tc>
          <w:tcPr>
            <w:tcW w:type="dxa" w:w="680"/>
          </w:tcPr>
          <w:p>
            <w:pPr>
              <w:spacing w:before="0" w:after="0" w:line="240" w:lineRule="auto"/>
              <w:ind w:firstLine="0"/>
              <w:jc w:val="left"/>
            </w:pPr>
            <w:r/>
            <w:r>
              <w:rPr>
                <w:rFonts w:ascii="Times New Roman" w:hAnsi="Times New Roman"/>
                <w:b w:val="0"/>
                <w:sz w:val="24"/>
              </w:rPr>
              <w:t>5</w:t>
            </w:r>
          </w:p>
        </w:tc>
        <w:tc>
          <w:tcPr>
            <w:tcW w:type="dxa" w:w="3402"/>
          </w:tcPr>
          <w:p>
            <w:pPr>
              <w:spacing w:before="0" w:after="0" w:line="240" w:lineRule="auto"/>
              <w:ind w:firstLine="0"/>
              <w:jc w:val="left"/>
            </w:pPr>
            <w:r/>
            <w:r>
              <w:rPr>
                <w:rFonts w:ascii="Times New Roman" w:hAnsi="Times New Roman"/>
                <w:b w:val="0"/>
                <w:sz w:val="24"/>
              </w:rPr>
              <w:t>Инфраструктура и развёртывание (контейнеризация, миграции, планировщик, документация по вводу в действие)</w:t>
            </w:r>
          </w:p>
        </w:tc>
        <w:tc>
          <w:tcPr>
            <w:tcW w:type="dxa" w:w="1474"/>
          </w:tcPr>
          <w:p>
            <w:pPr>
              <w:spacing w:before="0" w:after="0" w:line="240" w:lineRule="auto"/>
              <w:ind w:firstLine="0"/>
              <w:jc w:val="left"/>
            </w:pPr>
            <w:r/>
            <w:r>
              <w:rPr>
                <w:rFonts w:ascii="Times New Roman" w:hAnsi="Times New Roman"/>
                <w:b w:val="0"/>
                <w:sz w:val="24"/>
              </w:rPr>
              <w:t>DevOps-инженер</w:t>
            </w:r>
          </w:p>
        </w:tc>
        <w:tc>
          <w:tcPr>
            <w:tcW w:type="dxa" w:w="1020"/>
          </w:tcPr>
          <w:p>
            <w:pPr>
              <w:spacing w:before="0" w:after="0" w:line="240" w:lineRule="auto"/>
              <w:ind w:firstLine="0"/>
              <w:jc w:val="left"/>
            </w:pPr>
            <w:r/>
            <w:r>
              <w:rPr>
                <w:rFonts w:ascii="Times New Roman" w:hAnsi="Times New Roman"/>
                <w:b w:val="0"/>
                <w:sz w:val="24"/>
              </w:rPr>
              <w:t>60</w:t>
            </w:r>
          </w:p>
        </w:tc>
        <w:tc>
          <w:tcPr>
            <w:tcW w:type="dxa" w:w="1020"/>
          </w:tcPr>
          <w:p>
            <w:pPr>
              <w:spacing w:before="0" w:after="0" w:line="240" w:lineRule="auto"/>
              <w:ind w:firstLine="0"/>
              <w:jc w:val="left"/>
            </w:pPr>
            <w:r/>
            <w:r>
              <w:rPr>
                <w:rFonts w:ascii="Times New Roman" w:hAnsi="Times New Roman"/>
                <w:b w:val="0"/>
                <w:sz w:val="24"/>
              </w:rPr>
              <w:t>2 300</w:t>
            </w:r>
          </w:p>
        </w:tc>
        <w:tc>
          <w:tcPr>
            <w:tcW w:type="dxa" w:w="1191"/>
          </w:tcPr>
          <w:p>
            <w:pPr>
              <w:spacing w:before="0" w:after="0" w:line="240" w:lineRule="auto"/>
              <w:ind w:firstLine="0"/>
              <w:jc w:val="left"/>
            </w:pPr>
            <w:r/>
            <w:r>
              <w:rPr>
                <w:rFonts w:ascii="Times New Roman" w:hAnsi="Times New Roman"/>
                <w:b w:val="0"/>
                <w:sz w:val="24"/>
              </w:rPr>
              <w:t>138 000</w:t>
            </w:r>
          </w:p>
        </w:tc>
      </w:tr>
      <w:tr>
        <w:tc>
          <w:tcPr>
            <w:tcW w:type="dxa" w:w="680"/>
          </w:tcPr>
          <w:p>
            <w:pPr>
              <w:spacing w:before="0" w:after="0" w:line="240" w:lineRule="auto"/>
              <w:ind w:firstLine="0"/>
              <w:jc w:val="left"/>
            </w:pPr>
            <w:r/>
            <w:r>
              <w:rPr>
                <w:rFonts w:ascii="Times New Roman" w:hAnsi="Times New Roman"/>
                <w:b w:val="0"/>
                <w:sz w:val="24"/>
              </w:rPr>
              <w:t>6</w:t>
            </w:r>
          </w:p>
        </w:tc>
        <w:tc>
          <w:tcPr>
            <w:tcW w:type="dxa" w:w="3402"/>
          </w:tcPr>
          <w:p>
            <w:pPr>
              <w:spacing w:before="0" w:after="0" w:line="240" w:lineRule="auto"/>
              <w:ind w:firstLine="0"/>
              <w:jc w:val="left"/>
            </w:pPr>
            <w:r/>
            <w:r>
              <w:rPr>
                <w:rFonts w:ascii="Times New Roman" w:hAnsi="Times New Roman"/>
                <w:b w:val="0"/>
                <w:sz w:val="24"/>
              </w:rPr>
              <w:t>Тестирование (62 автоматических теста, приёмочные испытания)</w:t>
            </w:r>
          </w:p>
        </w:tc>
        <w:tc>
          <w:tcPr>
            <w:tcW w:type="dxa" w:w="1474"/>
          </w:tcPr>
          <w:p>
            <w:pPr>
              <w:spacing w:before="0" w:after="0" w:line="240" w:lineRule="auto"/>
              <w:ind w:firstLine="0"/>
              <w:jc w:val="left"/>
            </w:pPr>
            <w:r/>
            <w:r>
              <w:rPr>
                <w:rFonts w:ascii="Times New Roman" w:hAnsi="Times New Roman"/>
                <w:b w:val="0"/>
                <w:sz w:val="24"/>
              </w:rPr>
              <w:t>QA-инженер</w:t>
            </w:r>
          </w:p>
        </w:tc>
        <w:tc>
          <w:tcPr>
            <w:tcW w:type="dxa" w:w="1020"/>
          </w:tcPr>
          <w:p>
            <w:pPr>
              <w:spacing w:before="0" w:after="0" w:line="240" w:lineRule="auto"/>
              <w:ind w:firstLine="0"/>
              <w:jc w:val="left"/>
            </w:pPr>
            <w:r/>
            <w:r>
              <w:rPr>
                <w:rFonts w:ascii="Times New Roman" w:hAnsi="Times New Roman"/>
                <w:b w:val="0"/>
                <w:sz w:val="24"/>
              </w:rPr>
              <w:t>120</w:t>
            </w:r>
          </w:p>
        </w:tc>
        <w:tc>
          <w:tcPr>
            <w:tcW w:type="dxa" w:w="1020"/>
          </w:tcPr>
          <w:p>
            <w:pPr>
              <w:spacing w:before="0" w:after="0" w:line="240" w:lineRule="auto"/>
              <w:ind w:firstLine="0"/>
              <w:jc w:val="left"/>
            </w:pPr>
            <w:r/>
            <w:r>
              <w:rPr>
                <w:rFonts w:ascii="Times New Roman" w:hAnsi="Times New Roman"/>
                <w:b w:val="0"/>
                <w:sz w:val="24"/>
              </w:rPr>
              <w:t>1 500</w:t>
            </w:r>
          </w:p>
        </w:tc>
        <w:tc>
          <w:tcPr>
            <w:tcW w:type="dxa" w:w="1191"/>
          </w:tcPr>
          <w:p>
            <w:pPr>
              <w:spacing w:before="0" w:after="0" w:line="240" w:lineRule="auto"/>
              <w:ind w:firstLine="0"/>
              <w:jc w:val="left"/>
            </w:pPr>
            <w:r/>
            <w:r>
              <w:rPr>
                <w:rFonts w:ascii="Times New Roman" w:hAnsi="Times New Roman"/>
                <w:b w:val="0"/>
                <w:sz w:val="24"/>
              </w:rPr>
              <w:t>180 000</w:t>
            </w:r>
          </w:p>
        </w:tc>
      </w:tr>
      <w:tr>
        <w:tc>
          <w:tcPr>
            <w:tcW w:type="dxa" w:w="680"/>
          </w:tcPr>
          <w:p>
            <w:pPr>
              <w:spacing w:before="0" w:after="0" w:line="240" w:lineRule="auto"/>
              <w:ind w:firstLine="0"/>
              <w:jc w:val="left"/>
            </w:pPr>
            <w:r/>
            <w:r>
              <w:rPr>
                <w:rFonts w:ascii="Times New Roman" w:hAnsi="Times New Roman"/>
                <w:b w:val="0"/>
                <w:sz w:val="24"/>
              </w:rPr>
            </w:r>
          </w:p>
        </w:tc>
        <w:tc>
          <w:tcPr>
            <w:tcW w:type="dxa" w:w="3402"/>
          </w:tcPr>
          <w:p>
            <w:pPr>
              <w:spacing w:before="0" w:after="0" w:line="240" w:lineRule="auto"/>
              <w:ind w:firstLine="0"/>
              <w:jc w:val="left"/>
            </w:pPr>
            <w:r/>
            <w:r>
              <w:rPr>
                <w:rFonts w:ascii="Times New Roman" w:hAnsi="Times New Roman"/>
                <w:b w:val="0"/>
                <w:sz w:val="24"/>
              </w:rPr>
              <w:t>ИТОГО по ФОТ</w:t>
            </w:r>
          </w:p>
        </w:tc>
        <w:tc>
          <w:tcPr>
            <w:tcW w:type="dxa" w:w="1474"/>
          </w:tcPr>
          <w:p>
            <w:pPr>
              <w:spacing w:before="0" w:after="0" w:line="240" w:lineRule="auto"/>
              <w:ind w:firstLine="0"/>
              <w:jc w:val="left"/>
            </w:pPr>
            <w:r/>
            <w:r>
              <w:rPr>
                <w:rFonts w:ascii="Times New Roman" w:hAnsi="Times New Roman"/>
                <w:b w:val="0"/>
                <w:sz w:val="24"/>
              </w:rPr>
            </w:r>
          </w:p>
        </w:tc>
        <w:tc>
          <w:tcPr>
            <w:tcW w:type="dxa" w:w="1020"/>
          </w:tcPr>
          <w:p>
            <w:pPr>
              <w:spacing w:before="0" w:after="0" w:line="240" w:lineRule="auto"/>
              <w:ind w:firstLine="0"/>
              <w:jc w:val="left"/>
            </w:pPr>
            <w:r/>
            <w:r>
              <w:rPr>
                <w:rFonts w:ascii="Times New Roman" w:hAnsi="Times New Roman"/>
                <w:b w:val="0"/>
                <w:sz w:val="24"/>
              </w:rPr>
              <w:t>1 160</w:t>
            </w:r>
          </w:p>
        </w:tc>
        <w:tc>
          <w:tcPr>
            <w:tcW w:type="dxa" w:w="1020"/>
          </w:tcPr>
          <w:p>
            <w:pPr>
              <w:spacing w:before="0" w:after="0" w:line="240" w:lineRule="auto"/>
              <w:ind w:firstLine="0"/>
              <w:jc w:val="left"/>
            </w:pPr>
            <w:r/>
            <w:r>
              <w:rPr>
                <w:rFonts w:ascii="Times New Roman" w:hAnsi="Times New Roman"/>
                <w:b w:val="0"/>
                <w:sz w:val="24"/>
              </w:rPr>
            </w:r>
          </w:p>
        </w:tc>
        <w:tc>
          <w:tcPr>
            <w:tcW w:type="dxa" w:w="1191"/>
          </w:tcPr>
          <w:p>
            <w:pPr>
              <w:spacing w:before="0" w:after="0" w:line="240" w:lineRule="auto"/>
              <w:ind w:firstLine="0"/>
              <w:jc w:val="left"/>
            </w:pPr>
            <w:r/>
            <w:r>
              <w:rPr>
                <w:rFonts w:ascii="Times New Roman" w:hAnsi="Times New Roman"/>
                <w:b w:val="0"/>
                <w:sz w:val="24"/>
              </w:rPr>
              <w:t>2 302 000</w:t>
            </w:r>
          </w:p>
        </w:tc>
      </w:tr>
    </w:tbl>
    <w:p>
      <w:pPr>
        <w:spacing w:before="0" w:after="0" w:line="360" w:lineRule="auto"/>
        <w:ind w:firstLine="0"/>
      </w:pPr>
    </w:p>
    <w:p>
      <w:pPr>
        <w:spacing w:before="0" w:after="0" w:line="360" w:lineRule="auto"/>
        <w:ind w:firstLine="709"/>
        <w:jc w:val="both"/>
      </w:pPr>
      <w:r>
        <w:rPr>
          <w:b w:val="0"/>
        </w:rPr>
        <w:t>Вывод по подразделу. Разрабатываемый продукт «mosres» представляет собой ведомственную информационную систему мониторинга предложения квартир программы реновации, предназначенную для трёх сегментов пользователей: сотрудников подразделения реализации, аналитиков по ценообразованию и внешних пользователей публичного контура. Продукт решает задачу, не решаемую ни одним из рассмотренных аналогов, — ведёт версионную историю изменений по каждому лоту и дополняет её аналитикой и ипотечными расчётами. Минимально жизнеспособная версия включает семь функциональных модулей; технологический стек полностью построен на свободном программном обеспечении, что исключает лицензионные отчисления. Трудоёмкость разработки оценена в 1 160 человеко-часов, фонд оплаты труда команды — 2 302 000 руб.</w:t>
      </w:r>
    </w:p>
    <w:p>
      <w:pPr>
        <w:pStyle w:val="Heading2"/>
        <w:spacing w:before="0" w:after="0" w:line="360" w:lineRule="auto"/>
        <w:ind w:firstLine="709"/>
        <w:jc w:val="left"/>
      </w:pPr>
      <w:r>
        <w:rPr>
          <w:b/>
        </w:rPr>
        <w:t>2.2 Расчёт экономических показателей разработки программного продукта</w:t>
      </w:r>
    </w:p>
    <w:p>
      <w:pPr>
        <w:spacing w:before="0" w:after="0" w:line="360" w:lineRule="auto"/>
        <w:ind w:firstLine="709"/>
        <w:jc w:val="both"/>
      </w:pPr>
      <w:r>
        <w:rPr>
          <w:b w:val="0"/>
        </w:rPr>
        <w:t>В настоящем подразделе выполняется количественная оценка затрат на реализацию проекта и денежная оценка выгод от его внедрения. Поскольку продукт создаётся для государственного заказчика и не продаётся пользователям, вместо выручки от продаж в расчёте используется денежная оценка годовых выгод заказчика, структура которой обоснована в подразделе 1.1. Порядок расчёта и формулы соответствуют методике оценки эффективности разработки и внедрения программного продукта [29].</w:t>
      </w:r>
    </w:p>
    <w:p>
      <w:pPr>
        <w:spacing w:before="0" w:after="0" w:line="360" w:lineRule="auto"/>
        <w:ind w:firstLine="709"/>
        <w:jc w:val="both"/>
      </w:pPr>
      <w:r>
        <w:rPr>
          <w:b w:val="0"/>
        </w:rPr>
        <w:t>1. Расчёт капитальных затрат (CAPEX)</w:t>
      </w:r>
    </w:p>
    <w:p>
      <w:pPr>
        <w:spacing w:before="0" w:after="0" w:line="360" w:lineRule="auto"/>
        <w:ind w:firstLine="709"/>
        <w:jc w:val="both"/>
      </w:pPr>
      <w:r>
        <w:rPr>
          <w:b w:val="0"/>
        </w:rPr>
        <w:t>Капитальные затраты включают единовременные вложения, необходимые для создания продукта и его ввода в эксплуатацию. Основной составляющей капитальных затрат является фонд оплаты труда команды разработки, который рассчитывается как сумма произведений отработанного времени на ставку по каждому участнику проекта:</w:t>
      </w:r>
    </w:p>
    <w:p>
      <w:pPr>
        <w:tabs>
          <w:tab w:pos="4677" w:val="center"/>
          <w:tab w:pos="9354" w:val="right"/>
        </w:tabs>
        <w:spacing w:before="0" w:after="0" w:line="360" w:lineRule="auto"/>
        <w:ind w:firstLine="0"/>
        <w:jc w:val="left"/>
      </w:pPr>
      <w:r>
        <w:tab/>
        <w:t>ФОТ = Σ (Tᵢ × Rᵢ)</w:t>
        <w:tab/>
        <w:t>(1)</w:t>
      </w:r>
    </w:p>
    <w:p>
      <w:pPr>
        <w:spacing w:before="0" w:after="0" w:line="360" w:lineRule="auto"/>
        <w:ind w:firstLine="0"/>
        <w:jc w:val="both"/>
      </w:pPr>
      <w:r>
        <w:rPr>
          <w:b w:val="0"/>
        </w:rPr>
        <w:t>где Tᵢ – отработанное время i-го сотрудника, час;</w:t>
      </w:r>
    </w:p>
    <w:p>
      <w:pPr>
        <w:spacing w:before="0" w:after="0" w:line="360" w:lineRule="auto"/>
        <w:ind w:firstLine="0"/>
        <w:jc w:val="both"/>
      </w:pPr>
      <w:r>
        <w:rPr>
          <w:b w:val="0"/>
        </w:rPr>
        <w:t>Rᵢ – часовая ставка i-го сотрудника, руб./час;</w:t>
      </w:r>
    </w:p>
    <w:p>
      <w:pPr>
        <w:spacing w:before="0" w:after="0" w:line="360" w:lineRule="auto"/>
        <w:ind w:firstLine="0"/>
        <w:jc w:val="both"/>
      </w:pPr>
      <w:r>
        <w:rPr>
          <w:b w:val="0"/>
        </w:rPr>
        <w:t>Σ – сумма по всем сотрудникам (i = 1 … n).</w:t>
      </w:r>
    </w:p>
    <w:p>
      <w:pPr>
        <w:spacing w:before="0" w:after="0" w:line="360" w:lineRule="auto"/>
        <w:ind w:firstLine="709"/>
        <w:jc w:val="both"/>
      </w:pPr>
      <w:r>
        <w:rPr>
          <w:b w:val="0"/>
        </w:rPr>
        <w:t>По данным таблицы 2.3 фонд оплаты труда составляет 2 302 000 руб. при общей трудоёмкости 1 160 человеко-часов. Общая величина капитальных затрат определяется как сумма фонда оплаты труда и прочих единовременных затрат:</w:t>
      </w:r>
    </w:p>
    <w:p>
      <w:pPr>
        <w:tabs>
          <w:tab w:pos="4677" w:val="center"/>
          <w:tab w:pos="9354" w:val="right"/>
        </w:tabs>
        <w:spacing w:before="0" w:after="0" w:line="360" w:lineRule="auto"/>
        <w:ind w:firstLine="0"/>
        <w:jc w:val="left"/>
      </w:pPr>
      <w:r>
        <w:tab/>
        <w:t>CAPEX = CФОТ + Cлиц + Cобор + Cнакл + Cрезерв</w:t>
        <w:tab/>
        <w:t>(2)</w:t>
      </w:r>
    </w:p>
    <w:p>
      <w:pPr>
        <w:spacing w:before="0" w:after="0" w:line="360" w:lineRule="auto"/>
        <w:ind w:firstLine="0"/>
        <w:jc w:val="both"/>
      </w:pPr>
      <w:r>
        <w:rPr>
          <w:b w:val="0"/>
        </w:rPr>
        <w:t>где CФОТ – фонд оплаты труда команды проекта, руб.;</w:t>
      </w:r>
    </w:p>
    <w:p>
      <w:pPr>
        <w:spacing w:before="0" w:after="0" w:line="360" w:lineRule="auto"/>
        <w:ind w:firstLine="0"/>
        <w:jc w:val="both"/>
      </w:pPr>
      <w:r>
        <w:rPr>
          <w:b w:val="0"/>
        </w:rPr>
        <w:t>Cлиц – стоимость лицензий, инструментов разработки и сертификатов, руб.;</w:t>
      </w:r>
    </w:p>
    <w:p>
      <w:pPr>
        <w:spacing w:before="0" w:after="0" w:line="360" w:lineRule="auto"/>
        <w:ind w:firstLine="0"/>
        <w:jc w:val="both"/>
      </w:pPr>
      <w:r>
        <w:rPr>
          <w:b w:val="0"/>
        </w:rPr>
        <w:t>Cобор – стоимость оборудования, приобретаемого для проекта, руб.;</w:t>
      </w:r>
    </w:p>
    <w:p>
      <w:pPr>
        <w:spacing w:before="0" w:after="0" w:line="360" w:lineRule="auto"/>
        <w:ind w:firstLine="0"/>
        <w:jc w:val="both"/>
      </w:pPr>
      <w:r>
        <w:rPr>
          <w:b w:val="0"/>
        </w:rPr>
        <w:t>Cнакл – накладные расходы (принято 15 % от фонда оплаты труда), руб.;</w:t>
      </w:r>
    </w:p>
    <w:p>
      <w:pPr>
        <w:spacing w:before="0" w:after="0" w:line="360" w:lineRule="auto"/>
        <w:ind w:firstLine="0"/>
        <w:jc w:val="both"/>
      </w:pPr>
      <w:r>
        <w:rPr>
          <w:b w:val="0"/>
        </w:rPr>
        <w:t>Cрезерв – резервный фонд на непредвиденные расходы (принято 10 % от прямых затрат), руб.</w:t>
      </w:r>
    </w:p>
    <w:p>
      <w:pPr>
        <w:spacing w:before="0" w:after="0" w:line="360" w:lineRule="auto"/>
        <w:ind w:firstLine="709"/>
        <w:jc w:val="both"/>
      </w:pPr>
      <w:r>
        <w:rPr>
          <w:b w:val="0"/>
        </w:rPr>
        <w:t>Статья лицензий невелика именно потому, что стек построен на свободном программном обеспечении в соответствии с требованиями постановления Правительства Российской Федерации № 1236 [8]: оплачиваются только среды разработки, средства проектирования интерфейсов, доменное имя, сертификат TLS и учётная запись разработчика для публикации мобильного приложения. Структура капитальных затрат приведена в таблице 2.4.</w:t>
      </w:r>
    </w:p>
    <w:p>
      <w:pPr>
        <w:spacing w:before="120" w:after="0" w:line="240" w:lineRule="auto"/>
        <w:ind w:firstLine="0"/>
        <w:jc w:val="left"/>
      </w:pPr>
      <w:r>
        <w:rPr>
          <w:b w:val="0"/>
        </w:rPr>
        <w:t>Таблица 2.4 – Структура капитальных затрат (CAPEX)</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680"/>
          </w:tcPr>
          <w:p>
            <w:pPr>
              <w:spacing w:before="0" w:after="0" w:line="240" w:lineRule="auto"/>
              <w:ind w:firstLine="0"/>
              <w:jc w:val="center"/>
            </w:pPr>
            <w:r/>
            <w:r>
              <w:rPr>
                <w:rFonts w:ascii="Times New Roman" w:hAnsi="Times New Roman"/>
                <w:b/>
                <w:sz w:val="24"/>
              </w:rPr>
              <w:t>№ п/п</w:t>
            </w:r>
          </w:p>
        </w:tc>
        <w:tc>
          <w:tcPr>
            <w:tcW w:type="dxa" w:w="2041"/>
          </w:tcPr>
          <w:p>
            <w:pPr>
              <w:spacing w:before="0" w:after="0" w:line="240" w:lineRule="auto"/>
              <w:ind w:firstLine="0"/>
              <w:jc w:val="center"/>
            </w:pPr>
            <w:r/>
            <w:r>
              <w:rPr>
                <w:rFonts w:ascii="Times New Roman" w:hAnsi="Times New Roman"/>
                <w:b/>
                <w:sz w:val="24"/>
              </w:rPr>
              <w:t>Статья расходов</w:t>
            </w:r>
          </w:p>
        </w:tc>
        <w:tc>
          <w:tcPr>
            <w:tcW w:type="dxa" w:w="4535"/>
          </w:tcPr>
          <w:p>
            <w:pPr>
              <w:spacing w:before="0" w:after="0" w:line="240" w:lineRule="auto"/>
              <w:ind w:firstLine="0"/>
              <w:jc w:val="center"/>
            </w:pPr>
            <w:r/>
            <w:r>
              <w:rPr>
                <w:rFonts w:ascii="Times New Roman" w:hAnsi="Times New Roman"/>
                <w:b/>
                <w:sz w:val="24"/>
              </w:rPr>
              <w:t>Основание для расчёта</w:t>
            </w:r>
          </w:p>
        </w:tc>
        <w:tc>
          <w:tcPr>
            <w:tcW w:type="dxa" w:w="1531"/>
          </w:tcPr>
          <w:p>
            <w:pPr>
              <w:spacing w:before="0" w:after="0" w:line="240" w:lineRule="auto"/>
              <w:ind w:firstLine="0"/>
              <w:jc w:val="center"/>
            </w:pPr>
            <w:r/>
            <w:r>
              <w:rPr>
                <w:rFonts w:ascii="Times New Roman" w:hAnsi="Times New Roman"/>
                <w:b/>
                <w:sz w:val="24"/>
              </w:rPr>
              <w:t>Сумма, руб.</w:t>
            </w:r>
          </w:p>
        </w:tc>
      </w:tr>
      <w:tr>
        <w:tc>
          <w:tcPr>
            <w:tcW w:type="dxa" w:w="680"/>
          </w:tcPr>
          <w:p>
            <w:pPr>
              <w:spacing w:before="0" w:after="0" w:line="240" w:lineRule="auto"/>
              <w:ind w:firstLine="0"/>
              <w:jc w:val="left"/>
            </w:pPr>
            <w:r/>
            <w:r>
              <w:rPr>
                <w:rFonts w:ascii="Times New Roman" w:hAnsi="Times New Roman"/>
                <w:b w:val="0"/>
                <w:sz w:val="24"/>
              </w:rPr>
              <w:t>1</w:t>
            </w:r>
          </w:p>
        </w:tc>
        <w:tc>
          <w:tcPr>
            <w:tcW w:type="dxa" w:w="2041"/>
          </w:tcPr>
          <w:p>
            <w:pPr>
              <w:spacing w:before="0" w:after="0" w:line="240" w:lineRule="auto"/>
              <w:ind w:firstLine="0"/>
              <w:jc w:val="left"/>
            </w:pPr>
            <w:r/>
            <w:r>
              <w:rPr>
                <w:rFonts w:ascii="Times New Roman" w:hAnsi="Times New Roman"/>
                <w:b w:val="0"/>
                <w:sz w:val="24"/>
              </w:rPr>
              <w:t>Фонд оплаты труда (ФОТ)</w:t>
            </w:r>
          </w:p>
        </w:tc>
        <w:tc>
          <w:tcPr>
            <w:tcW w:type="dxa" w:w="4535"/>
          </w:tcPr>
          <w:p>
            <w:pPr>
              <w:spacing w:before="0" w:after="0" w:line="240" w:lineRule="auto"/>
              <w:ind w:firstLine="0"/>
              <w:jc w:val="left"/>
            </w:pPr>
            <w:r/>
            <w:r>
              <w:rPr>
                <w:rFonts w:ascii="Times New Roman" w:hAnsi="Times New Roman"/>
                <w:b w:val="0"/>
                <w:sz w:val="24"/>
              </w:rPr>
              <w:t>Данные таблицы 2.3</w:t>
            </w:r>
          </w:p>
        </w:tc>
        <w:tc>
          <w:tcPr>
            <w:tcW w:type="dxa" w:w="1531"/>
          </w:tcPr>
          <w:p>
            <w:pPr>
              <w:spacing w:before="0" w:after="0" w:line="240" w:lineRule="auto"/>
              <w:ind w:firstLine="0"/>
              <w:jc w:val="left"/>
            </w:pPr>
            <w:r/>
            <w:r>
              <w:rPr>
                <w:rFonts w:ascii="Times New Roman" w:hAnsi="Times New Roman"/>
                <w:b w:val="0"/>
                <w:sz w:val="24"/>
              </w:rPr>
              <w:t>2 302 000</w:t>
            </w:r>
          </w:p>
        </w:tc>
      </w:tr>
      <w:tr>
        <w:tc>
          <w:tcPr>
            <w:tcW w:type="dxa" w:w="680"/>
          </w:tcPr>
          <w:p>
            <w:pPr>
              <w:spacing w:before="0" w:after="0" w:line="240" w:lineRule="auto"/>
              <w:ind w:firstLine="0"/>
              <w:jc w:val="left"/>
            </w:pPr>
            <w:r/>
            <w:r>
              <w:rPr>
                <w:rFonts w:ascii="Times New Roman" w:hAnsi="Times New Roman"/>
                <w:b w:val="0"/>
                <w:sz w:val="24"/>
              </w:rPr>
              <w:t>2</w:t>
            </w:r>
          </w:p>
        </w:tc>
        <w:tc>
          <w:tcPr>
            <w:tcW w:type="dxa" w:w="2041"/>
          </w:tcPr>
          <w:p>
            <w:pPr>
              <w:spacing w:before="0" w:after="0" w:line="240" w:lineRule="auto"/>
              <w:ind w:firstLine="0"/>
              <w:jc w:val="left"/>
            </w:pPr>
            <w:r/>
            <w:r>
              <w:rPr>
                <w:rFonts w:ascii="Times New Roman" w:hAnsi="Times New Roman"/>
                <w:b w:val="0"/>
                <w:sz w:val="24"/>
              </w:rPr>
              <w:t>Лицензионное ПО и инструменты</w:t>
            </w:r>
          </w:p>
        </w:tc>
        <w:tc>
          <w:tcPr>
            <w:tcW w:type="dxa" w:w="4535"/>
          </w:tcPr>
          <w:p>
            <w:pPr>
              <w:spacing w:before="0" w:after="0" w:line="240" w:lineRule="auto"/>
              <w:ind w:firstLine="0"/>
              <w:jc w:val="left"/>
            </w:pPr>
            <w:r/>
            <w:r>
              <w:rPr>
                <w:rFonts w:ascii="Times New Roman" w:hAnsi="Times New Roman"/>
                <w:b w:val="0"/>
                <w:sz w:val="24"/>
              </w:rPr>
              <w:t>Среды разработки (2 рабочих места), средство проектирования интерфейсов, домен, сертификат TLS, учётная запись разработчика Android</w:t>
            </w:r>
          </w:p>
        </w:tc>
        <w:tc>
          <w:tcPr>
            <w:tcW w:type="dxa" w:w="1531"/>
          </w:tcPr>
          <w:p>
            <w:pPr>
              <w:spacing w:before="0" w:after="0" w:line="240" w:lineRule="auto"/>
              <w:ind w:firstLine="0"/>
              <w:jc w:val="left"/>
            </w:pPr>
            <w:r/>
            <w:r>
              <w:rPr>
                <w:rFonts w:ascii="Times New Roman" w:hAnsi="Times New Roman"/>
                <w:b w:val="0"/>
                <w:sz w:val="24"/>
              </w:rPr>
              <w:t>60 000</w:t>
            </w:r>
          </w:p>
        </w:tc>
      </w:tr>
      <w:tr>
        <w:tc>
          <w:tcPr>
            <w:tcW w:type="dxa" w:w="680"/>
          </w:tcPr>
          <w:p>
            <w:pPr>
              <w:spacing w:before="0" w:after="0" w:line="240" w:lineRule="auto"/>
              <w:ind w:firstLine="0"/>
              <w:jc w:val="left"/>
            </w:pPr>
            <w:r/>
            <w:r>
              <w:rPr>
                <w:rFonts w:ascii="Times New Roman" w:hAnsi="Times New Roman"/>
                <w:b w:val="0"/>
                <w:sz w:val="24"/>
              </w:rPr>
              <w:t>3</w:t>
            </w:r>
          </w:p>
        </w:tc>
        <w:tc>
          <w:tcPr>
            <w:tcW w:type="dxa" w:w="2041"/>
          </w:tcPr>
          <w:p>
            <w:pPr>
              <w:spacing w:before="0" w:after="0" w:line="240" w:lineRule="auto"/>
              <w:ind w:firstLine="0"/>
              <w:jc w:val="left"/>
            </w:pPr>
            <w:r/>
            <w:r>
              <w:rPr>
                <w:rFonts w:ascii="Times New Roman" w:hAnsi="Times New Roman"/>
                <w:b w:val="0"/>
                <w:sz w:val="24"/>
              </w:rPr>
              <w:t>Оборудование</w:t>
            </w:r>
          </w:p>
        </w:tc>
        <w:tc>
          <w:tcPr>
            <w:tcW w:type="dxa" w:w="4535"/>
          </w:tcPr>
          <w:p>
            <w:pPr>
              <w:spacing w:before="0" w:after="0" w:line="240" w:lineRule="auto"/>
              <w:ind w:firstLine="0"/>
              <w:jc w:val="left"/>
            </w:pPr>
            <w:r/>
            <w:r>
              <w:rPr>
                <w:rFonts w:ascii="Times New Roman" w:hAnsi="Times New Roman"/>
                <w:b w:val="0"/>
                <w:sz w:val="24"/>
              </w:rPr>
              <w:t>Два ноутбука для разработки и тестовый смартфон на Android</w:t>
            </w:r>
          </w:p>
        </w:tc>
        <w:tc>
          <w:tcPr>
            <w:tcW w:type="dxa" w:w="1531"/>
          </w:tcPr>
          <w:p>
            <w:pPr>
              <w:spacing w:before="0" w:after="0" w:line="240" w:lineRule="auto"/>
              <w:ind w:firstLine="0"/>
              <w:jc w:val="left"/>
            </w:pPr>
            <w:r/>
            <w:r>
              <w:rPr>
                <w:rFonts w:ascii="Times New Roman" w:hAnsi="Times New Roman"/>
                <w:b w:val="0"/>
                <w:sz w:val="24"/>
              </w:rPr>
              <w:t>300 000</w:t>
            </w:r>
          </w:p>
        </w:tc>
      </w:tr>
      <w:tr>
        <w:tc>
          <w:tcPr>
            <w:tcW w:type="dxa" w:w="680"/>
          </w:tcPr>
          <w:p>
            <w:pPr>
              <w:spacing w:before="0" w:after="0" w:line="240" w:lineRule="auto"/>
              <w:ind w:firstLine="0"/>
              <w:jc w:val="left"/>
            </w:pPr>
            <w:r/>
            <w:r>
              <w:rPr>
                <w:rFonts w:ascii="Times New Roman" w:hAnsi="Times New Roman"/>
                <w:b w:val="0"/>
                <w:sz w:val="24"/>
              </w:rPr>
              <w:t>4</w:t>
            </w:r>
          </w:p>
        </w:tc>
        <w:tc>
          <w:tcPr>
            <w:tcW w:type="dxa" w:w="2041"/>
          </w:tcPr>
          <w:p>
            <w:pPr>
              <w:spacing w:before="0" w:after="0" w:line="240" w:lineRule="auto"/>
              <w:ind w:firstLine="0"/>
              <w:jc w:val="left"/>
            </w:pPr>
            <w:r/>
            <w:r>
              <w:rPr>
                <w:rFonts w:ascii="Times New Roman" w:hAnsi="Times New Roman"/>
                <w:b w:val="0"/>
                <w:sz w:val="24"/>
              </w:rPr>
              <w:t>Накладные расходы</w:t>
            </w:r>
          </w:p>
        </w:tc>
        <w:tc>
          <w:tcPr>
            <w:tcW w:type="dxa" w:w="4535"/>
          </w:tcPr>
          <w:p>
            <w:pPr>
              <w:spacing w:before="0" w:after="0" w:line="240" w:lineRule="auto"/>
              <w:ind w:firstLine="0"/>
              <w:jc w:val="left"/>
            </w:pPr>
            <w:r/>
            <w:r>
              <w:rPr>
                <w:rFonts w:ascii="Times New Roman" w:hAnsi="Times New Roman"/>
                <w:b w:val="0"/>
                <w:sz w:val="24"/>
              </w:rPr>
              <w:t>15 % от ФОТ (рабочие места, связь, администрирование проекта)</w:t>
            </w:r>
          </w:p>
        </w:tc>
        <w:tc>
          <w:tcPr>
            <w:tcW w:type="dxa" w:w="1531"/>
          </w:tcPr>
          <w:p>
            <w:pPr>
              <w:spacing w:before="0" w:after="0" w:line="240" w:lineRule="auto"/>
              <w:ind w:firstLine="0"/>
              <w:jc w:val="left"/>
            </w:pPr>
            <w:r/>
            <w:r>
              <w:rPr>
                <w:rFonts w:ascii="Times New Roman" w:hAnsi="Times New Roman"/>
                <w:b w:val="0"/>
                <w:sz w:val="24"/>
              </w:rPr>
              <w:t>345 300</w:t>
            </w:r>
          </w:p>
        </w:tc>
      </w:tr>
      <w:tr>
        <w:tc>
          <w:tcPr>
            <w:tcW w:type="dxa" w:w="680"/>
          </w:tcPr>
          <w:p>
            <w:pPr>
              <w:spacing w:before="0" w:after="0" w:line="240" w:lineRule="auto"/>
              <w:ind w:firstLine="0"/>
              <w:jc w:val="left"/>
            </w:pPr>
            <w:r/>
            <w:r>
              <w:rPr>
                <w:rFonts w:ascii="Times New Roman" w:hAnsi="Times New Roman"/>
                <w:b w:val="0"/>
                <w:sz w:val="24"/>
              </w:rPr>
              <w:t>5</w:t>
            </w:r>
          </w:p>
        </w:tc>
        <w:tc>
          <w:tcPr>
            <w:tcW w:type="dxa" w:w="2041"/>
          </w:tcPr>
          <w:p>
            <w:pPr>
              <w:spacing w:before="0" w:after="0" w:line="240" w:lineRule="auto"/>
              <w:ind w:firstLine="0"/>
              <w:jc w:val="left"/>
            </w:pPr>
            <w:r/>
            <w:r>
              <w:rPr>
                <w:rFonts w:ascii="Times New Roman" w:hAnsi="Times New Roman"/>
                <w:b w:val="0"/>
                <w:sz w:val="24"/>
              </w:rPr>
              <w:t>Резервный фонд</w:t>
            </w:r>
          </w:p>
        </w:tc>
        <w:tc>
          <w:tcPr>
            <w:tcW w:type="dxa" w:w="4535"/>
          </w:tcPr>
          <w:p>
            <w:pPr>
              <w:spacing w:before="0" w:after="0" w:line="240" w:lineRule="auto"/>
              <w:ind w:firstLine="0"/>
              <w:jc w:val="left"/>
            </w:pPr>
            <w:r/>
            <w:r>
              <w:rPr>
                <w:rFonts w:ascii="Times New Roman" w:hAnsi="Times New Roman"/>
                <w:b w:val="0"/>
                <w:sz w:val="24"/>
              </w:rPr>
              <w:t>10 % от прямых затрат на разработку (ФОТ + ПО + оборудование)</w:t>
            </w:r>
          </w:p>
        </w:tc>
        <w:tc>
          <w:tcPr>
            <w:tcW w:type="dxa" w:w="1531"/>
          </w:tcPr>
          <w:p>
            <w:pPr>
              <w:spacing w:before="0" w:after="0" w:line="240" w:lineRule="auto"/>
              <w:ind w:firstLine="0"/>
              <w:jc w:val="left"/>
            </w:pPr>
            <w:r/>
            <w:r>
              <w:rPr>
                <w:rFonts w:ascii="Times New Roman" w:hAnsi="Times New Roman"/>
                <w:b w:val="0"/>
                <w:sz w:val="24"/>
              </w:rPr>
              <w:t>266 200</w:t>
            </w:r>
          </w:p>
        </w:tc>
      </w:tr>
      <w:tr>
        <w:tc>
          <w:tcPr>
            <w:tcW w:type="dxa" w:w="680"/>
          </w:tcPr>
          <w:p>
            <w:pPr>
              <w:spacing w:before="0" w:after="0" w:line="240" w:lineRule="auto"/>
              <w:ind w:firstLine="0"/>
              <w:jc w:val="left"/>
            </w:pPr>
            <w:r/>
            <w:r>
              <w:rPr>
                <w:rFonts w:ascii="Times New Roman" w:hAnsi="Times New Roman"/>
                <w:b w:val="0"/>
                <w:sz w:val="24"/>
              </w:rPr>
            </w:r>
          </w:p>
        </w:tc>
        <w:tc>
          <w:tcPr>
            <w:tcW w:type="dxa" w:w="2041"/>
          </w:tcPr>
          <w:p>
            <w:pPr>
              <w:spacing w:before="0" w:after="0" w:line="240" w:lineRule="auto"/>
              <w:ind w:firstLine="0"/>
              <w:jc w:val="left"/>
            </w:pPr>
            <w:r/>
            <w:r>
              <w:rPr>
                <w:rFonts w:ascii="Times New Roman" w:hAnsi="Times New Roman"/>
                <w:b w:val="0"/>
                <w:sz w:val="24"/>
              </w:rPr>
              <w:t>ИТОГО CAPEX</w:t>
            </w:r>
          </w:p>
        </w:tc>
        <w:tc>
          <w:tcPr>
            <w:tcW w:type="dxa" w:w="4535"/>
          </w:tcPr>
          <w:p>
            <w:pPr>
              <w:spacing w:before="0" w:after="0" w:line="240" w:lineRule="auto"/>
              <w:ind w:firstLine="0"/>
              <w:jc w:val="left"/>
            </w:pPr>
            <w:r/>
            <w:r>
              <w:rPr>
                <w:rFonts w:ascii="Times New Roman" w:hAnsi="Times New Roman"/>
                <w:b w:val="0"/>
                <w:sz w:val="24"/>
              </w:rPr>
            </w:r>
          </w:p>
        </w:tc>
        <w:tc>
          <w:tcPr>
            <w:tcW w:type="dxa" w:w="1531"/>
          </w:tcPr>
          <w:p>
            <w:pPr>
              <w:spacing w:before="0" w:after="0" w:line="240" w:lineRule="auto"/>
              <w:ind w:firstLine="0"/>
              <w:jc w:val="left"/>
            </w:pPr>
            <w:r/>
            <w:r>
              <w:rPr>
                <w:rFonts w:ascii="Times New Roman" w:hAnsi="Times New Roman"/>
                <w:b w:val="0"/>
                <w:sz w:val="24"/>
              </w:rPr>
              <w:t>3 273 500</w:t>
            </w:r>
          </w:p>
        </w:tc>
      </w:tr>
    </w:tbl>
    <w:p>
      <w:pPr>
        <w:spacing w:before="0" w:after="0" w:line="360" w:lineRule="auto"/>
        <w:ind w:firstLine="0"/>
      </w:pPr>
    </w:p>
    <w:p>
      <w:pPr>
        <w:spacing w:before="0" w:after="0" w:line="360" w:lineRule="auto"/>
        <w:ind w:firstLine="709"/>
        <w:jc w:val="both"/>
      </w:pPr>
      <w:r>
        <w:rPr>
          <w:b w:val="0"/>
        </w:rPr>
        <w:t>Расчёт накладных расходов: 2 302 000 × 0,15 = 345 300 руб.</w:t>
      </w:r>
    </w:p>
    <w:p>
      <w:pPr>
        <w:spacing w:before="0" w:after="0" w:line="360" w:lineRule="auto"/>
        <w:ind w:firstLine="709"/>
        <w:jc w:val="both"/>
      </w:pPr>
      <w:r>
        <w:rPr>
          <w:b w:val="0"/>
        </w:rPr>
        <w:t>Расчёт резервного фонда: (2 302 000 + 60 000 + 300 000) × 0,10 = 2 662 000 × 0,10 = 266 200 руб.</w:t>
      </w:r>
    </w:p>
    <w:p>
      <w:pPr>
        <w:spacing w:before="0" w:after="0" w:line="360" w:lineRule="auto"/>
        <w:ind w:firstLine="709"/>
        <w:jc w:val="both"/>
      </w:pPr>
      <w:r>
        <w:rPr>
          <w:b w:val="0"/>
        </w:rPr>
        <w:t>Таким образом, объём первоначальных инвестиций в создание продукта составляет 3 273 500 руб. Эта величина является обоснованием начальной (максимальной) цены контракта на разработку в понимании 44-ФЗ [3].</w:t>
      </w:r>
    </w:p>
    <w:p>
      <w:pPr>
        <w:spacing w:before="0" w:after="0" w:line="360" w:lineRule="auto"/>
        <w:ind w:firstLine="709"/>
        <w:jc w:val="both"/>
      </w:pPr>
      <w:r>
        <w:rPr>
          <w:b w:val="0"/>
        </w:rPr>
        <w:t>2. Расчёт операционных затрат (OPEX)</w:t>
      </w:r>
    </w:p>
    <w:p>
      <w:pPr>
        <w:spacing w:before="0" w:after="0" w:line="360" w:lineRule="auto"/>
        <w:ind w:firstLine="709"/>
        <w:jc w:val="both"/>
      </w:pPr>
      <w:r>
        <w:rPr>
          <w:b w:val="0"/>
        </w:rPr>
        <w:t>Операционные затраты — ежегодные расходы на эксплуатацию, поддержку и развитие работающего продукта. Состав статей скорректирован применительно к ведомственному продукту: расходы на маркетинг и продвижение, характерные для коммерческих продуктов, не возникают, поскольку продукт не продаётся на открытом рынке; вместо них предусмотрены расходы на обучение пользователей и организационное сопровождение внедрения, без которых заявленная экономия рабочего времени не будет достигнута. Структура годовых операционных затрат приведена в таблице 2.5.</w:t>
      </w:r>
    </w:p>
    <w:p>
      <w:pPr>
        <w:spacing w:before="120" w:after="0" w:line="240" w:lineRule="auto"/>
        <w:ind w:firstLine="0"/>
        <w:jc w:val="left"/>
      </w:pPr>
      <w:r>
        <w:rPr>
          <w:b w:val="0"/>
        </w:rPr>
        <w:t>Таблица 2.5 – Структура годовых операционных затрат (OPEX)</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680"/>
          </w:tcPr>
          <w:p>
            <w:pPr>
              <w:spacing w:before="0" w:after="0" w:line="240" w:lineRule="auto"/>
              <w:ind w:firstLine="0"/>
              <w:jc w:val="center"/>
            </w:pPr>
            <w:r/>
            <w:r>
              <w:rPr>
                <w:rFonts w:ascii="Times New Roman" w:hAnsi="Times New Roman"/>
                <w:b/>
                <w:sz w:val="24"/>
              </w:rPr>
              <w:t>№ п/п</w:t>
            </w:r>
          </w:p>
        </w:tc>
        <w:tc>
          <w:tcPr>
            <w:tcW w:type="dxa" w:w="2381"/>
          </w:tcPr>
          <w:p>
            <w:pPr>
              <w:spacing w:before="0" w:after="0" w:line="240" w:lineRule="auto"/>
              <w:ind w:firstLine="0"/>
              <w:jc w:val="center"/>
            </w:pPr>
            <w:r/>
            <w:r>
              <w:rPr>
                <w:rFonts w:ascii="Times New Roman" w:hAnsi="Times New Roman"/>
                <w:b/>
                <w:sz w:val="24"/>
              </w:rPr>
              <w:t>Статья расходов</w:t>
            </w:r>
          </w:p>
        </w:tc>
        <w:tc>
          <w:tcPr>
            <w:tcW w:type="dxa" w:w="4195"/>
          </w:tcPr>
          <w:p>
            <w:pPr>
              <w:spacing w:before="0" w:after="0" w:line="240" w:lineRule="auto"/>
              <w:ind w:firstLine="0"/>
              <w:jc w:val="center"/>
            </w:pPr>
            <w:r/>
            <w:r>
              <w:rPr>
                <w:rFonts w:ascii="Times New Roman" w:hAnsi="Times New Roman"/>
                <w:b/>
                <w:sz w:val="24"/>
              </w:rPr>
              <w:t>Метод расчёта</w:t>
            </w:r>
          </w:p>
        </w:tc>
        <w:tc>
          <w:tcPr>
            <w:tcW w:type="dxa" w:w="1531"/>
          </w:tcPr>
          <w:p>
            <w:pPr>
              <w:spacing w:before="0" w:after="0" w:line="240" w:lineRule="auto"/>
              <w:ind w:firstLine="0"/>
              <w:jc w:val="center"/>
            </w:pPr>
            <w:r/>
            <w:r>
              <w:rPr>
                <w:rFonts w:ascii="Times New Roman" w:hAnsi="Times New Roman"/>
                <w:b/>
                <w:sz w:val="24"/>
              </w:rPr>
              <w:t>Сумма, руб./год</w:t>
            </w:r>
          </w:p>
        </w:tc>
      </w:tr>
      <w:tr>
        <w:tc>
          <w:tcPr>
            <w:tcW w:type="dxa" w:w="680"/>
          </w:tcPr>
          <w:p>
            <w:pPr>
              <w:spacing w:before="0" w:after="0" w:line="240" w:lineRule="auto"/>
              <w:ind w:firstLine="0"/>
              <w:jc w:val="left"/>
            </w:pPr>
            <w:r/>
            <w:r>
              <w:rPr>
                <w:rFonts w:ascii="Times New Roman" w:hAnsi="Times New Roman"/>
                <w:b w:val="0"/>
                <w:sz w:val="24"/>
              </w:rPr>
              <w:t>1</w:t>
            </w:r>
          </w:p>
        </w:tc>
        <w:tc>
          <w:tcPr>
            <w:tcW w:type="dxa" w:w="2381"/>
          </w:tcPr>
          <w:p>
            <w:pPr>
              <w:spacing w:before="0" w:after="0" w:line="240" w:lineRule="auto"/>
              <w:ind w:firstLine="0"/>
              <w:jc w:val="left"/>
            </w:pPr>
            <w:r/>
            <w:r>
              <w:rPr>
                <w:rFonts w:ascii="Times New Roman" w:hAnsi="Times New Roman"/>
                <w:b w:val="0"/>
                <w:sz w:val="24"/>
              </w:rPr>
              <w:t>Хостинг и инфраструктура</w:t>
            </w:r>
          </w:p>
        </w:tc>
        <w:tc>
          <w:tcPr>
            <w:tcW w:type="dxa" w:w="4195"/>
          </w:tcPr>
          <w:p>
            <w:pPr>
              <w:spacing w:before="0" w:after="0" w:line="240" w:lineRule="auto"/>
              <w:ind w:firstLine="0"/>
              <w:jc w:val="left"/>
            </w:pPr>
            <w:r/>
            <w:r>
              <w:rPr>
                <w:rFonts w:ascii="Times New Roman" w:hAnsi="Times New Roman"/>
                <w:b w:val="0"/>
                <w:sz w:val="24"/>
              </w:rPr>
              <w:t>Виртуальный сервер (4 vCPU, 8 ГБ), хранение резервных копий — 8 000 руб./мес × 12</w:t>
            </w:r>
          </w:p>
        </w:tc>
        <w:tc>
          <w:tcPr>
            <w:tcW w:type="dxa" w:w="1531"/>
          </w:tcPr>
          <w:p>
            <w:pPr>
              <w:spacing w:before="0" w:after="0" w:line="240" w:lineRule="auto"/>
              <w:ind w:firstLine="0"/>
              <w:jc w:val="left"/>
            </w:pPr>
            <w:r/>
            <w:r>
              <w:rPr>
                <w:rFonts w:ascii="Times New Roman" w:hAnsi="Times New Roman"/>
                <w:b w:val="0"/>
                <w:sz w:val="24"/>
              </w:rPr>
              <w:t>96 000</w:t>
            </w:r>
          </w:p>
        </w:tc>
      </w:tr>
      <w:tr>
        <w:tc>
          <w:tcPr>
            <w:tcW w:type="dxa" w:w="680"/>
          </w:tcPr>
          <w:p>
            <w:pPr>
              <w:spacing w:before="0" w:after="0" w:line="240" w:lineRule="auto"/>
              <w:ind w:firstLine="0"/>
              <w:jc w:val="left"/>
            </w:pPr>
            <w:r/>
            <w:r>
              <w:rPr>
                <w:rFonts w:ascii="Times New Roman" w:hAnsi="Times New Roman"/>
                <w:b w:val="0"/>
                <w:sz w:val="24"/>
              </w:rPr>
              <w:t>2</w:t>
            </w:r>
          </w:p>
        </w:tc>
        <w:tc>
          <w:tcPr>
            <w:tcW w:type="dxa" w:w="2381"/>
          </w:tcPr>
          <w:p>
            <w:pPr>
              <w:spacing w:before="0" w:after="0" w:line="240" w:lineRule="auto"/>
              <w:ind w:firstLine="0"/>
              <w:jc w:val="left"/>
            </w:pPr>
            <w:r/>
            <w:r>
              <w:rPr>
                <w:rFonts w:ascii="Times New Roman" w:hAnsi="Times New Roman"/>
                <w:b w:val="0"/>
                <w:sz w:val="24"/>
              </w:rPr>
              <w:t>Техническая поддержка и администрирование</w:t>
            </w:r>
          </w:p>
        </w:tc>
        <w:tc>
          <w:tcPr>
            <w:tcW w:type="dxa" w:w="4195"/>
          </w:tcPr>
          <w:p>
            <w:pPr>
              <w:spacing w:before="0" w:after="0" w:line="240" w:lineRule="auto"/>
              <w:ind w:firstLine="0"/>
              <w:jc w:val="left"/>
            </w:pPr>
            <w:r/>
            <w:r>
              <w:rPr>
                <w:rFonts w:ascii="Times New Roman" w:hAnsi="Times New Roman"/>
                <w:b w:val="0"/>
                <w:sz w:val="24"/>
              </w:rPr>
              <w:t>0,25 ставки инженера сопровождения (оклад 160 000 руб./мес с учётом взносов)</w:t>
            </w:r>
          </w:p>
        </w:tc>
        <w:tc>
          <w:tcPr>
            <w:tcW w:type="dxa" w:w="1531"/>
          </w:tcPr>
          <w:p>
            <w:pPr>
              <w:spacing w:before="0" w:after="0" w:line="240" w:lineRule="auto"/>
              <w:ind w:firstLine="0"/>
              <w:jc w:val="left"/>
            </w:pPr>
            <w:r/>
            <w:r>
              <w:rPr>
                <w:rFonts w:ascii="Times New Roman" w:hAnsi="Times New Roman"/>
                <w:b w:val="0"/>
                <w:sz w:val="24"/>
              </w:rPr>
              <w:t>480 000</w:t>
            </w:r>
          </w:p>
        </w:tc>
      </w:tr>
      <w:tr>
        <w:tc>
          <w:tcPr>
            <w:tcW w:type="dxa" w:w="680"/>
          </w:tcPr>
          <w:p>
            <w:pPr>
              <w:spacing w:before="0" w:after="0" w:line="240" w:lineRule="auto"/>
              <w:ind w:firstLine="0"/>
              <w:jc w:val="left"/>
            </w:pPr>
            <w:r/>
            <w:r>
              <w:rPr>
                <w:rFonts w:ascii="Times New Roman" w:hAnsi="Times New Roman"/>
                <w:b w:val="0"/>
                <w:sz w:val="24"/>
              </w:rPr>
              <w:t>3</w:t>
            </w:r>
          </w:p>
        </w:tc>
        <w:tc>
          <w:tcPr>
            <w:tcW w:type="dxa" w:w="2381"/>
          </w:tcPr>
          <w:p>
            <w:pPr>
              <w:spacing w:before="0" w:after="0" w:line="240" w:lineRule="auto"/>
              <w:ind w:firstLine="0"/>
              <w:jc w:val="left"/>
            </w:pPr>
            <w:r/>
            <w:r>
              <w:rPr>
                <w:rFonts w:ascii="Times New Roman" w:hAnsi="Times New Roman"/>
                <w:b w:val="0"/>
                <w:sz w:val="24"/>
              </w:rPr>
              <w:t>Обучение пользователей и организационное сопровождение внедрения</w:t>
            </w:r>
          </w:p>
        </w:tc>
        <w:tc>
          <w:tcPr>
            <w:tcW w:type="dxa" w:w="4195"/>
          </w:tcPr>
          <w:p>
            <w:pPr>
              <w:spacing w:before="0" w:after="0" w:line="240" w:lineRule="auto"/>
              <w:ind w:firstLine="0"/>
              <w:jc w:val="left"/>
            </w:pPr>
            <w:r/>
            <w:r>
              <w:rPr>
                <w:rFonts w:ascii="Times New Roman" w:hAnsi="Times New Roman"/>
                <w:b w:val="0"/>
                <w:sz w:val="24"/>
              </w:rPr>
              <w:t>15 000 руб./мес × 12 (инструкции, обучение новых сотрудников, методическая поддержка)</w:t>
            </w:r>
          </w:p>
        </w:tc>
        <w:tc>
          <w:tcPr>
            <w:tcW w:type="dxa" w:w="1531"/>
          </w:tcPr>
          <w:p>
            <w:pPr>
              <w:spacing w:before="0" w:after="0" w:line="240" w:lineRule="auto"/>
              <w:ind w:firstLine="0"/>
              <w:jc w:val="left"/>
            </w:pPr>
            <w:r/>
            <w:r>
              <w:rPr>
                <w:rFonts w:ascii="Times New Roman" w:hAnsi="Times New Roman"/>
                <w:b w:val="0"/>
                <w:sz w:val="24"/>
              </w:rPr>
              <w:t>180 000</w:t>
            </w:r>
          </w:p>
        </w:tc>
      </w:tr>
      <w:tr>
        <w:tc>
          <w:tcPr>
            <w:tcW w:type="dxa" w:w="680"/>
          </w:tcPr>
          <w:p>
            <w:pPr>
              <w:spacing w:before="0" w:after="0" w:line="240" w:lineRule="auto"/>
              <w:ind w:firstLine="0"/>
              <w:jc w:val="left"/>
            </w:pPr>
            <w:r/>
            <w:r>
              <w:rPr>
                <w:rFonts w:ascii="Times New Roman" w:hAnsi="Times New Roman"/>
                <w:b w:val="0"/>
                <w:sz w:val="24"/>
              </w:rPr>
              <w:t>4</w:t>
            </w:r>
          </w:p>
        </w:tc>
        <w:tc>
          <w:tcPr>
            <w:tcW w:type="dxa" w:w="2381"/>
          </w:tcPr>
          <w:p>
            <w:pPr>
              <w:spacing w:before="0" w:after="0" w:line="240" w:lineRule="auto"/>
              <w:ind w:firstLine="0"/>
              <w:jc w:val="left"/>
            </w:pPr>
            <w:r/>
            <w:r>
              <w:rPr>
                <w:rFonts w:ascii="Times New Roman" w:hAnsi="Times New Roman"/>
                <w:b w:val="0"/>
                <w:sz w:val="24"/>
              </w:rPr>
              <w:t>Обновление лицензий и сертификатов</w:t>
            </w:r>
          </w:p>
        </w:tc>
        <w:tc>
          <w:tcPr>
            <w:tcW w:type="dxa" w:w="4195"/>
          </w:tcPr>
          <w:p>
            <w:pPr>
              <w:spacing w:before="0" w:after="0" w:line="240" w:lineRule="auto"/>
              <w:ind w:firstLine="0"/>
              <w:jc w:val="left"/>
            </w:pPr>
            <w:r/>
            <w:r>
              <w:rPr>
                <w:rFonts w:ascii="Times New Roman" w:hAnsi="Times New Roman"/>
                <w:b w:val="0"/>
                <w:sz w:val="24"/>
              </w:rPr>
              <w:t>Годовые подписки на инструменты, сертификат TLS, учётная запись разработчика</w:t>
            </w:r>
          </w:p>
        </w:tc>
        <w:tc>
          <w:tcPr>
            <w:tcW w:type="dxa" w:w="1531"/>
          </w:tcPr>
          <w:p>
            <w:pPr>
              <w:spacing w:before="0" w:after="0" w:line="240" w:lineRule="auto"/>
              <w:ind w:firstLine="0"/>
              <w:jc w:val="left"/>
            </w:pPr>
            <w:r/>
            <w:r>
              <w:rPr>
                <w:rFonts w:ascii="Times New Roman" w:hAnsi="Times New Roman"/>
                <w:b w:val="0"/>
                <w:sz w:val="24"/>
              </w:rPr>
              <w:t>36 000</w:t>
            </w:r>
          </w:p>
        </w:tc>
      </w:tr>
      <w:tr>
        <w:tc>
          <w:tcPr>
            <w:tcW w:type="dxa" w:w="680"/>
          </w:tcPr>
          <w:p>
            <w:pPr>
              <w:spacing w:before="0" w:after="0" w:line="240" w:lineRule="auto"/>
              <w:ind w:firstLine="0"/>
              <w:jc w:val="left"/>
            </w:pPr>
            <w:r/>
            <w:r>
              <w:rPr>
                <w:rFonts w:ascii="Times New Roman" w:hAnsi="Times New Roman"/>
                <w:b w:val="0"/>
                <w:sz w:val="24"/>
              </w:rPr>
              <w:t>5</w:t>
            </w:r>
          </w:p>
        </w:tc>
        <w:tc>
          <w:tcPr>
            <w:tcW w:type="dxa" w:w="2381"/>
          </w:tcPr>
          <w:p>
            <w:pPr>
              <w:spacing w:before="0" w:after="0" w:line="240" w:lineRule="auto"/>
              <w:ind w:firstLine="0"/>
              <w:jc w:val="left"/>
            </w:pPr>
            <w:r/>
            <w:r>
              <w:rPr>
                <w:rFonts w:ascii="Times New Roman" w:hAnsi="Times New Roman"/>
                <w:b w:val="0"/>
                <w:sz w:val="24"/>
              </w:rPr>
              <w:t>Развитие функциональности</w:t>
            </w:r>
          </w:p>
        </w:tc>
        <w:tc>
          <w:tcPr>
            <w:tcW w:type="dxa" w:w="4195"/>
          </w:tcPr>
          <w:p>
            <w:pPr>
              <w:spacing w:before="0" w:after="0" w:line="240" w:lineRule="auto"/>
              <w:ind w:firstLine="0"/>
              <w:jc w:val="left"/>
            </w:pPr>
            <w:r/>
            <w:r>
              <w:rPr>
                <w:rFonts w:ascii="Times New Roman" w:hAnsi="Times New Roman"/>
                <w:b w:val="0"/>
                <w:sz w:val="24"/>
              </w:rPr>
              <w:t>0,25 ставки разработчика (доработки при изменении источника данных и требований заказчика)</w:t>
            </w:r>
          </w:p>
        </w:tc>
        <w:tc>
          <w:tcPr>
            <w:tcW w:type="dxa" w:w="1531"/>
          </w:tcPr>
          <w:p>
            <w:pPr>
              <w:spacing w:before="0" w:after="0" w:line="240" w:lineRule="auto"/>
              <w:ind w:firstLine="0"/>
              <w:jc w:val="left"/>
            </w:pPr>
            <w:r/>
            <w:r>
              <w:rPr>
                <w:rFonts w:ascii="Times New Roman" w:hAnsi="Times New Roman"/>
                <w:b w:val="0"/>
                <w:sz w:val="24"/>
              </w:rPr>
              <w:t>480 000</w:t>
            </w:r>
          </w:p>
        </w:tc>
      </w:tr>
      <w:tr>
        <w:tc>
          <w:tcPr>
            <w:tcW w:type="dxa" w:w="680"/>
          </w:tcPr>
          <w:p>
            <w:pPr>
              <w:spacing w:before="0" w:after="0" w:line="240" w:lineRule="auto"/>
              <w:ind w:firstLine="0"/>
              <w:jc w:val="left"/>
            </w:pPr>
            <w:r/>
            <w:r>
              <w:rPr>
                <w:rFonts w:ascii="Times New Roman" w:hAnsi="Times New Roman"/>
                <w:b w:val="0"/>
                <w:sz w:val="24"/>
              </w:rPr>
            </w:r>
          </w:p>
        </w:tc>
        <w:tc>
          <w:tcPr>
            <w:tcW w:type="dxa" w:w="2381"/>
          </w:tcPr>
          <w:p>
            <w:pPr>
              <w:spacing w:before="0" w:after="0" w:line="240" w:lineRule="auto"/>
              <w:ind w:firstLine="0"/>
              <w:jc w:val="left"/>
            </w:pPr>
            <w:r/>
            <w:r>
              <w:rPr>
                <w:rFonts w:ascii="Times New Roman" w:hAnsi="Times New Roman"/>
                <w:b w:val="0"/>
                <w:sz w:val="24"/>
              </w:rPr>
              <w:t>ИТОГО OPEX</w:t>
            </w:r>
          </w:p>
        </w:tc>
        <w:tc>
          <w:tcPr>
            <w:tcW w:type="dxa" w:w="4195"/>
          </w:tcPr>
          <w:p>
            <w:pPr>
              <w:spacing w:before="0" w:after="0" w:line="240" w:lineRule="auto"/>
              <w:ind w:firstLine="0"/>
              <w:jc w:val="left"/>
            </w:pPr>
            <w:r/>
            <w:r>
              <w:rPr>
                <w:rFonts w:ascii="Times New Roman" w:hAnsi="Times New Roman"/>
                <w:b w:val="0"/>
                <w:sz w:val="24"/>
              </w:rPr>
            </w:r>
          </w:p>
        </w:tc>
        <w:tc>
          <w:tcPr>
            <w:tcW w:type="dxa" w:w="1531"/>
          </w:tcPr>
          <w:p>
            <w:pPr>
              <w:spacing w:before="0" w:after="0" w:line="240" w:lineRule="auto"/>
              <w:ind w:firstLine="0"/>
              <w:jc w:val="left"/>
            </w:pPr>
            <w:r/>
            <w:r>
              <w:rPr>
                <w:rFonts w:ascii="Times New Roman" w:hAnsi="Times New Roman"/>
                <w:b w:val="0"/>
                <w:sz w:val="24"/>
              </w:rPr>
              <w:t>1 272 000</w:t>
            </w:r>
          </w:p>
        </w:tc>
      </w:tr>
    </w:tbl>
    <w:p>
      <w:pPr>
        <w:spacing w:before="0" w:after="0" w:line="360" w:lineRule="auto"/>
        <w:ind w:firstLine="0"/>
      </w:pPr>
    </w:p>
    <w:p>
      <w:pPr>
        <w:spacing w:before="0" w:after="0" w:line="360" w:lineRule="auto"/>
        <w:ind w:firstLine="709"/>
        <w:jc w:val="both"/>
      </w:pPr>
      <w:r>
        <w:rPr>
          <w:b w:val="0"/>
        </w:rPr>
        <w:t>Статья развития функциональности не является резервом: источник данных находится вне контроля заказчика, и изменение структуры его ответов требует доработки модуля сбора. Отказ от этой статьи означает потерю работоспособности системы в течение одного-двух лет, то есть полную утрату эффекта.</w:t>
      </w:r>
    </w:p>
    <w:p>
      <w:pPr>
        <w:spacing w:before="0" w:after="0" w:line="360" w:lineRule="auto"/>
        <w:ind w:firstLine="709"/>
        <w:jc w:val="both"/>
      </w:pPr>
      <w:r>
        <w:rPr>
          <w:b w:val="0"/>
        </w:rPr>
        <w:t>3. Прогнозирование денежной оценки выгод от внедрения продукта</w:t>
      </w:r>
    </w:p>
    <w:p>
      <w:pPr>
        <w:spacing w:before="0" w:after="0" w:line="360" w:lineRule="auto"/>
        <w:ind w:firstLine="709"/>
        <w:jc w:val="both"/>
      </w:pPr>
      <w:r>
        <w:rPr>
          <w:b w:val="0"/>
        </w:rPr>
        <w:t>Годовые выгоды от внедрения складываются из трёх компонентов, обоснованных в подразделе 1.1: экономии рабочего времени пользователей, прироста доходов от реализации квартир за счёт более точного ценообразования и отказа от закупки сторонней коммерческой аналитики.</w:t>
      </w:r>
    </w:p>
    <w:p>
      <w:pPr>
        <w:spacing w:before="0" w:after="0" w:line="360" w:lineRule="auto"/>
        <w:ind w:firstLine="709"/>
        <w:jc w:val="both"/>
      </w:pPr>
      <w:r>
        <w:rPr>
          <w:b w:val="0"/>
        </w:rPr>
        <w:t>Первый компонент рассчитывается по формуле прогнозирования годового результата эксплуатации, где в качестве единицы транзакции принят сэкономленный нормо-час:</w:t>
      </w:r>
    </w:p>
    <w:p>
      <w:pPr>
        <w:tabs>
          <w:tab w:pos="4677" w:val="center"/>
          <w:tab w:pos="9354" w:val="right"/>
        </w:tabs>
        <w:spacing w:before="0" w:after="0" w:line="360" w:lineRule="auto"/>
        <w:ind w:firstLine="0"/>
        <w:jc w:val="left"/>
      </w:pPr>
      <w:r>
        <w:tab/>
        <w:t>Э₁ = Uакт × Qср × Pср × 12</w:t>
        <w:tab/>
        <w:t>(3)</w:t>
      </w:r>
    </w:p>
    <w:p>
      <w:pPr>
        <w:spacing w:before="0" w:after="0" w:line="360" w:lineRule="auto"/>
        <w:ind w:firstLine="0"/>
        <w:jc w:val="both"/>
      </w:pPr>
      <w:r>
        <w:rPr>
          <w:b w:val="0"/>
        </w:rPr>
        <w:t>где Э₁ – годовая экономия трудозатрат, руб.;</w:t>
      </w:r>
    </w:p>
    <w:p>
      <w:pPr>
        <w:spacing w:before="0" w:after="0" w:line="360" w:lineRule="auto"/>
        <w:ind w:firstLine="0"/>
        <w:jc w:val="both"/>
      </w:pPr>
      <w:r>
        <w:rPr>
          <w:b w:val="0"/>
        </w:rPr>
        <w:t>Uакт – количество активных пользователей системы, чел.;</w:t>
      </w:r>
    </w:p>
    <w:p>
      <w:pPr>
        <w:spacing w:before="0" w:after="0" w:line="360" w:lineRule="auto"/>
        <w:ind w:firstLine="0"/>
        <w:jc w:val="both"/>
      </w:pPr>
      <w:r>
        <w:rPr>
          <w:b w:val="0"/>
        </w:rPr>
        <w:t>Qср – среднее количество сэкономленных нормо-часов на одного пользователя в месяц, ч;</w:t>
      </w:r>
    </w:p>
    <w:p>
      <w:pPr>
        <w:spacing w:before="0" w:after="0" w:line="360" w:lineRule="auto"/>
        <w:ind w:firstLine="0"/>
        <w:jc w:val="both"/>
      </w:pPr>
      <w:r>
        <w:rPr>
          <w:b w:val="0"/>
        </w:rPr>
        <w:t>Pср – стоимость нормо-часа сотрудника с учётом страховых взносов, руб.;</w:t>
      </w:r>
    </w:p>
    <w:p>
      <w:pPr>
        <w:spacing w:before="0" w:after="0" w:line="360" w:lineRule="auto"/>
        <w:ind w:firstLine="0"/>
        <w:jc w:val="both"/>
      </w:pPr>
      <w:r>
        <w:rPr>
          <w:b w:val="0"/>
        </w:rPr>
        <w:t>12 – количество месяцев в году.</w:t>
      </w:r>
    </w:p>
    <w:p>
      <w:pPr>
        <w:spacing w:before="0" w:after="0" w:line="360" w:lineRule="auto"/>
        <w:ind w:firstLine="709"/>
        <w:jc w:val="both"/>
      </w:pPr>
      <w:r>
        <w:rPr>
          <w:b w:val="0"/>
        </w:rPr>
        <w:t>Второй компонент отражает прирост доходов города от реализации квартир. Автоматизация не увеличивает объём предложения, однако позволяет своевременно выявлять корпуса, где скидка избыточна, а спрос устойчив, и не занижать цену при подготовке лотов к аукционам. Прирост рассчитывается как:</w:t>
      </w:r>
    </w:p>
    <w:p>
      <w:pPr>
        <w:tabs>
          <w:tab w:pos="4677" w:val="center"/>
          <w:tab w:pos="9354" w:val="right"/>
        </w:tabs>
        <w:spacing w:before="0" w:after="0" w:line="360" w:lineRule="auto"/>
        <w:ind w:firstLine="0"/>
        <w:jc w:val="left"/>
      </w:pPr>
      <w:r>
        <w:tab/>
        <w:t>Э₂ = Nреал × Pкв × Δp</w:t>
        <w:tab/>
        <w:t>(4)</w:t>
      </w:r>
    </w:p>
    <w:p>
      <w:pPr>
        <w:spacing w:before="0" w:after="0" w:line="360" w:lineRule="auto"/>
        <w:ind w:firstLine="0"/>
        <w:jc w:val="both"/>
      </w:pPr>
      <w:r>
        <w:rPr>
          <w:b w:val="0"/>
        </w:rPr>
        <w:t>где Э₂ – прирост дохода от реализации квартир, руб.;</w:t>
      </w:r>
    </w:p>
    <w:p>
      <w:pPr>
        <w:spacing w:before="0" w:after="0" w:line="360" w:lineRule="auto"/>
        <w:ind w:firstLine="0"/>
        <w:jc w:val="both"/>
      </w:pPr>
      <w:r>
        <w:rPr>
          <w:b w:val="0"/>
        </w:rPr>
        <w:t>Nреал – количество квартир, реализуемых за год с использованием системы, ед.;</w:t>
      </w:r>
    </w:p>
    <w:p>
      <w:pPr>
        <w:spacing w:before="0" w:after="0" w:line="360" w:lineRule="auto"/>
        <w:ind w:firstLine="0"/>
        <w:jc w:val="both"/>
      </w:pPr>
      <w:r>
        <w:rPr>
          <w:b w:val="0"/>
        </w:rPr>
        <w:t>Pкв – средняя цена реализуемой квартиры, руб.;</w:t>
      </w:r>
    </w:p>
    <w:p>
      <w:pPr>
        <w:spacing w:before="0" w:after="0" w:line="360" w:lineRule="auto"/>
        <w:ind w:firstLine="0"/>
        <w:jc w:val="both"/>
      </w:pPr>
      <w:r>
        <w:rPr>
          <w:b w:val="0"/>
        </w:rPr>
        <w:t>Δp – относительный прирост цены реализации, доли единицы.</w:t>
      </w:r>
    </w:p>
    <w:p>
      <w:pPr>
        <w:spacing w:before="0" w:after="0" w:line="360" w:lineRule="auto"/>
        <w:ind w:firstLine="709"/>
        <w:jc w:val="both"/>
      </w:pPr>
      <w:r>
        <w:rPr>
          <w:b w:val="0"/>
        </w:rPr>
        <w:t>Третий компонент — отказ от подписок на коммерческие аналитические сервисы, функции которых замещаются собственным продуктом (Э₃). Общая денежная оценка годовых выгод определяется как сумма трёх компонентов:</w:t>
      </w:r>
    </w:p>
    <w:p>
      <w:pPr>
        <w:tabs>
          <w:tab w:pos="4677" w:val="center"/>
          <w:tab w:pos="9354" w:val="right"/>
        </w:tabs>
        <w:spacing w:before="0" w:after="0" w:line="360" w:lineRule="auto"/>
        <w:ind w:firstLine="0"/>
        <w:jc w:val="left"/>
      </w:pPr>
      <w:r>
        <w:tab/>
        <w:t>Vгод = Э₁ + Э₂ + Э₃</w:t>
        <w:tab/>
        <w:t>(5)</w:t>
      </w:r>
    </w:p>
    <w:p>
      <w:pPr>
        <w:spacing w:before="0" w:after="0" w:line="360" w:lineRule="auto"/>
        <w:ind w:firstLine="709"/>
        <w:jc w:val="both"/>
      </w:pPr>
      <w:r>
        <w:rPr>
          <w:b w:val="0"/>
        </w:rPr>
        <w:t>Исходные данные для расчёта приняты консервативно и приведены в таблице 2.6. Количество пользователей соответствует численности двух подразделений заказчика (сегменты А и Б подраздела 2.1); внешние пользователи публичного контура в расчёт выгод не включаются. Годовой объём реализации принят на уровне 40 % текущего предложения, средняя цена квартиры — по фактическому срезу на 27.09.2026. Прирост цены реализации принят на уровне 0,1 %, то есть заведомо ниже типичного шага скидки, который на рассматриваемом портале достигает нескольких процентов.</w:t>
      </w:r>
    </w:p>
    <w:p>
      <w:pPr>
        <w:spacing w:before="120" w:after="0" w:line="240" w:lineRule="auto"/>
        <w:ind w:firstLine="0"/>
        <w:jc w:val="left"/>
      </w:pPr>
      <w:r>
        <w:rPr>
          <w:b w:val="0"/>
        </w:rPr>
        <w:t>Таблица 2.6 – Данные для прогнозирования годовых выгод от внедрения</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680"/>
          </w:tcPr>
          <w:p>
            <w:pPr>
              <w:spacing w:before="0" w:after="0" w:line="240" w:lineRule="auto"/>
              <w:ind w:firstLine="0"/>
              <w:jc w:val="center"/>
            </w:pPr>
            <w:r/>
            <w:r>
              <w:rPr>
                <w:rFonts w:ascii="Times New Roman" w:hAnsi="Times New Roman"/>
                <w:b/>
                <w:sz w:val="24"/>
              </w:rPr>
              <w:t>№ п/п</w:t>
            </w:r>
          </w:p>
        </w:tc>
        <w:tc>
          <w:tcPr>
            <w:tcW w:type="dxa" w:w="2381"/>
          </w:tcPr>
          <w:p>
            <w:pPr>
              <w:spacing w:before="0" w:after="0" w:line="240" w:lineRule="auto"/>
              <w:ind w:firstLine="0"/>
              <w:jc w:val="center"/>
            </w:pPr>
            <w:r/>
            <w:r>
              <w:rPr>
                <w:rFonts w:ascii="Times New Roman" w:hAnsi="Times New Roman"/>
                <w:b/>
                <w:sz w:val="24"/>
              </w:rPr>
              <w:t>Параметр</w:t>
            </w:r>
          </w:p>
        </w:tc>
        <w:tc>
          <w:tcPr>
            <w:tcW w:type="dxa" w:w="1020"/>
          </w:tcPr>
          <w:p>
            <w:pPr>
              <w:spacing w:before="0" w:after="0" w:line="240" w:lineRule="auto"/>
              <w:ind w:firstLine="0"/>
              <w:jc w:val="center"/>
            </w:pPr>
            <w:r/>
            <w:r>
              <w:rPr>
                <w:rFonts w:ascii="Times New Roman" w:hAnsi="Times New Roman"/>
                <w:b/>
                <w:sz w:val="24"/>
              </w:rPr>
              <w:t>Обозначение</w:t>
            </w:r>
          </w:p>
        </w:tc>
        <w:tc>
          <w:tcPr>
            <w:tcW w:type="dxa" w:w="1247"/>
          </w:tcPr>
          <w:p>
            <w:pPr>
              <w:spacing w:before="0" w:after="0" w:line="240" w:lineRule="auto"/>
              <w:ind w:firstLine="0"/>
              <w:jc w:val="center"/>
            </w:pPr>
            <w:r/>
            <w:r>
              <w:rPr>
                <w:rFonts w:ascii="Times New Roman" w:hAnsi="Times New Roman"/>
                <w:b/>
                <w:sz w:val="24"/>
              </w:rPr>
              <w:t>Значение</w:t>
            </w:r>
          </w:p>
        </w:tc>
        <w:tc>
          <w:tcPr>
            <w:tcW w:type="dxa" w:w="3458"/>
          </w:tcPr>
          <w:p>
            <w:pPr>
              <w:spacing w:before="0" w:after="0" w:line="240" w:lineRule="auto"/>
              <w:ind w:firstLine="0"/>
              <w:jc w:val="center"/>
            </w:pPr>
            <w:r/>
            <w:r>
              <w:rPr>
                <w:rFonts w:ascii="Times New Roman" w:hAnsi="Times New Roman"/>
                <w:b/>
                <w:sz w:val="24"/>
              </w:rPr>
              <w:t>Обоснование</w:t>
            </w:r>
          </w:p>
        </w:tc>
      </w:tr>
      <w:tr>
        <w:tc>
          <w:tcPr>
            <w:tcW w:type="dxa" w:w="680"/>
          </w:tcPr>
          <w:p>
            <w:pPr>
              <w:spacing w:before="0" w:after="0" w:line="240" w:lineRule="auto"/>
              <w:ind w:firstLine="0"/>
              <w:jc w:val="left"/>
            </w:pPr>
            <w:r/>
            <w:r>
              <w:rPr>
                <w:rFonts w:ascii="Times New Roman" w:hAnsi="Times New Roman"/>
                <w:b w:val="0"/>
                <w:sz w:val="24"/>
              </w:rPr>
              <w:t>1</w:t>
            </w:r>
          </w:p>
        </w:tc>
        <w:tc>
          <w:tcPr>
            <w:tcW w:type="dxa" w:w="2381"/>
          </w:tcPr>
          <w:p>
            <w:pPr>
              <w:spacing w:before="0" w:after="0" w:line="240" w:lineRule="auto"/>
              <w:ind w:firstLine="0"/>
              <w:jc w:val="left"/>
            </w:pPr>
            <w:r/>
            <w:r>
              <w:rPr>
                <w:rFonts w:ascii="Times New Roman" w:hAnsi="Times New Roman"/>
                <w:b w:val="0"/>
                <w:sz w:val="24"/>
              </w:rPr>
              <w:t>Количество активных пользователей системы</w:t>
            </w:r>
          </w:p>
        </w:tc>
        <w:tc>
          <w:tcPr>
            <w:tcW w:type="dxa" w:w="1020"/>
          </w:tcPr>
          <w:p>
            <w:pPr>
              <w:spacing w:before="0" w:after="0" w:line="240" w:lineRule="auto"/>
              <w:ind w:firstLine="0"/>
              <w:jc w:val="left"/>
            </w:pPr>
            <w:r/>
            <w:r>
              <w:rPr>
                <w:rFonts w:ascii="Times New Roman" w:hAnsi="Times New Roman"/>
                <w:b w:val="0"/>
                <w:sz w:val="24"/>
              </w:rPr>
              <w:t>Uакт</w:t>
            </w:r>
          </w:p>
        </w:tc>
        <w:tc>
          <w:tcPr>
            <w:tcW w:type="dxa" w:w="1247"/>
          </w:tcPr>
          <w:p>
            <w:pPr>
              <w:spacing w:before="0" w:after="0" w:line="240" w:lineRule="auto"/>
              <w:ind w:firstLine="0"/>
              <w:jc w:val="left"/>
            </w:pPr>
            <w:r/>
            <w:r>
              <w:rPr>
                <w:rFonts w:ascii="Times New Roman" w:hAnsi="Times New Roman"/>
                <w:b w:val="0"/>
                <w:sz w:val="24"/>
              </w:rPr>
              <w:t>25 чел.</w:t>
            </w:r>
          </w:p>
        </w:tc>
        <w:tc>
          <w:tcPr>
            <w:tcW w:type="dxa" w:w="3458"/>
          </w:tcPr>
          <w:p>
            <w:pPr>
              <w:spacing w:before="0" w:after="0" w:line="240" w:lineRule="auto"/>
              <w:ind w:firstLine="0"/>
              <w:jc w:val="left"/>
            </w:pPr>
            <w:r/>
            <w:r>
              <w:rPr>
                <w:rFonts w:ascii="Times New Roman" w:hAnsi="Times New Roman"/>
                <w:b w:val="0"/>
                <w:sz w:val="24"/>
              </w:rPr>
              <w:t>15 сотрудников подразделения реализации и 10 аналитиков</w:t>
            </w:r>
          </w:p>
        </w:tc>
      </w:tr>
      <w:tr>
        <w:tc>
          <w:tcPr>
            <w:tcW w:type="dxa" w:w="680"/>
          </w:tcPr>
          <w:p>
            <w:pPr>
              <w:spacing w:before="0" w:after="0" w:line="240" w:lineRule="auto"/>
              <w:ind w:firstLine="0"/>
              <w:jc w:val="left"/>
            </w:pPr>
            <w:r/>
            <w:r>
              <w:rPr>
                <w:rFonts w:ascii="Times New Roman" w:hAnsi="Times New Roman"/>
                <w:b w:val="0"/>
                <w:sz w:val="24"/>
              </w:rPr>
              <w:t>2</w:t>
            </w:r>
          </w:p>
        </w:tc>
        <w:tc>
          <w:tcPr>
            <w:tcW w:type="dxa" w:w="2381"/>
          </w:tcPr>
          <w:p>
            <w:pPr>
              <w:spacing w:before="0" w:after="0" w:line="240" w:lineRule="auto"/>
              <w:ind w:firstLine="0"/>
              <w:jc w:val="left"/>
            </w:pPr>
            <w:r/>
            <w:r>
              <w:rPr>
                <w:rFonts w:ascii="Times New Roman" w:hAnsi="Times New Roman"/>
                <w:b w:val="0"/>
                <w:sz w:val="24"/>
              </w:rPr>
              <w:t>Экономия рабочего времени на одного пользователя</w:t>
            </w:r>
          </w:p>
        </w:tc>
        <w:tc>
          <w:tcPr>
            <w:tcW w:type="dxa" w:w="1020"/>
          </w:tcPr>
          <w:p>
            <w:pPr>
              <w:spacing w:before="0" w:after="0" w:line="240" w:lineRule="auto"/>
              <w:ind w:firstLine="0"/>
              <w:jc w:val="left"/>
            </w:pPr>
            <w:r/>
            <w:r>
              <w:rPr>
                <w:rFonts w:ascii="Times New Roman" w:hAnsi="Times New Roman"/>
                <w:b w:val="0"/>
                <w:sz w:val="24"/>
              </w:rPr>
              <w:t>Qср</w:t>
            </w:r>
          </w:p>
        </w:tc>
        <w:tc>
          <w:tcPr>
            <w:tcW w:type="dxa" w:w="1247"/>
          </w:tcPr>
          <w:p>
            <w:pPr>
              <w:spacing w:before="0" w:after="0" w:line="240" w:lineRule="auto"/>
              <w:ind w:firstLine="0"/>
              <w:jc w:val="left"/>
            </w:pPr>
            <w:r/>
            <w:r>
              <w:rPr>
                <w:rFonts w:ascii="Times New Roman" w:hAnsi="Times New Roman"/>
                <w:b w:val="0"/>
                <w:sz w:val="24"/>
              </w:rPr>
              <w:t>8 нормо-ч/мес</w:t>
            </w:r>
          </w:p>
        </w:tc>
        <w:tc>
          <w:tcPr>
            <w:tcW w:type="dxa" w:w="3458"/>
          </w:tcPr>
          <w:p>
            <w:pPr>
              <w:spacing w:before="0" w:after="0" w:line="240" w:lineRule="auto"/>
              <w:ind w:firstLine="0"/>
              <w:jc w:val="left"/>
            </w:pPr>
            <w:r/>
            <w:r>
              <w:rPr>
                <w:rFonts w:ascii="Times New Roman" w:hAnsi="Times New Roman"/>
                <w:b w:val="0"/>
                <w:sz w:val="24"/>
              </w:rPr>
              <w:t>Отказ от ручной подготовки срезов (до 4 ч в неделю у аналитика, меньше у остальных)</w:t>
            </w:r>
          </w:p>
        </w:tc>
      </w:tr>
      <w:tr>
        <w:tc>
          <w:tcPr>
            <w:tcW w:type="dxa" w:w="680"/>
          </w:tcPr>
          <w:p>
            <w:pPr>
              <w:spacing w:before="0" w:after="0" w:line="240" w:lineRule="auto"/>
              <w:ind w:firstLine="0"/>
              <w:jc w:val="left"/>
            </w:pPr>
            <w:r/>
            <w:r>
              <w:rPr>
                <w:rFonts w:ascii="Times New Roman" w:hAnsi="Times New Roman"/>
                <w:b w:val="0"/>
                <w:sz w:val="24"/>
              </w:rPr>
              <w:t>3</w:t>
            </w:r>
          </w:p>
        </w:tc>
        <w:tc>
          <w:tcPr>
            <w:tcW w:type="dxa" w:w="2381"/>
          </w:tcPr>
          <w:p>
            <w:pPr>
              <w:spacing w:before="0" w:after="0" w:line="240" w:lineRule="auto"/>
              <w:ind w:firstLine="0"/>
              <w:jc w:val="left"/>
            </w:pPr>
            <w:r/>
            <w:r>
              <w:rPr>
                <w:rFonts w:ascii="Times New Roman" w:hAnsi="Times New Roman"/>
                <w:b w:val="0"/>
                <w:sz w:val="24"/>
              </w:rPr>
              <w:t>Стоимость нормо-часа с учётом страховых взносов</w:t>
            </w:r>
          </w:p>
        </w:tc>
        <w:tc>
          <w:tcPr>
            <w:tcW w:type="dxa" w:w="1020"/>
          </w:tcPr>
          <w:p>
            <w:pPr>
              <w:spacing w:before="0" w:after="0" w:line="240" w:lineRule="auto"/>
              <w:ind w:firstLine="0"/>
              <w:jc w:val="left"/>
            </w:pPr>
            <w:r/>
            <w:r>
              <w:rPr>
                <w:rFonts w:ascii="Times New Roman" w:hAnsi="Times New Roman"/>
                <w:b w:val="0"/>
                <w:sz w:val="24"/>
              </w:rPr>
              <w:t>Pср</w:t>
            </w:r>
          </w:p>
        </w:tc>
        <w:tc>
          <w:tcPr>
            <w:tcW w:type="dxa" w:w="1247"/>
          </w:tcPr>
          <w:p>
            <w:pPr>
              <w:spacing w:before="0" w:after="0" w:line="240" w:lineRule="auto"/>
              <w:ind w:firstLine="0"/>
              <w:jc w:val="left"/>
            </w:pPr>
            <w:r/>
            <w:r>
              <w:rPr>
                <w:rFonts w:ascii="Times New Roman" w:hAnsi="Times New Roman"/>
                <w:b w:val="0"/>
                <w:sz w:val="24"/>
              </w:rPr>
              <w:t>800 руб.</w:t>
            </w:r>
          </w:p>
        </w:tc>
        <w:tc>
          <w:tcPr>
            <w:tcW w:type="dxa" w:w="3458"/>
          </w:tcPr>
          <w:p>
            <w:pPr>
              <w:spacing w:before="0" w:after="0" w:line="240" w:lineRule="auto"/>
              <w:ind w:firstLine="0"/>
              <w:jc w:val="left"/>
            </w:pPr>
            <w:r/>
            <w:r>
              <w:rPr>
                <w:rFonts w:ascii="Times New Roman" w:hAnsi="Times New Roman"/>
                <w:b w:val="0"/>
                <w:sz w:val="24"/>
              </w:rPr>
              <w:t>Средняя по категориям должностей пользователей</w:t>
            </w:r>
          </w:p>
        </w:tc>
      </w:tr>
      <w:tr>
        <w:tc>
          <w:tcPr>
            <w:tcW w:type="dxa" w:w="680"/>
          </w:tcPr>
          <w:p>
            <w:pPr>
              <w:spacing w:before="0" w:after="0" w:line="240" w:lineRule="auto"/>
              <w:ind w:firstLine="0"/>
              <w:jc w:val="left"/>
            </w:pPr>
            <w:r/>
            <w:r>
              <w:rPr>
                <w:rFonts w:ascii="Times New Roman" w:hAnsi="Times New Roman"/>
                <w:b w:val="0"/>
                <w:sz w:val="24"/>
              </w:rPr>
              <w:t>4</w:t>
            </w:r>
          </w:p>
        </w:tc>
        <w:tc>
          <w:tcPr>
            <w:tcW w:type="dxa" w:w="2381"/>
          </w:tcPr>
          <w:p>
            <w:pPr>
              <w:spacing w:before="0" w:after="0" w:line="240" w:lineRule="auto"/>
              <w:ind w:firstLine="0"/>
              <w:jc w:val="left"/>
            </w:pPr>
            <w:r/>
            <w:r>
              <w:rPr>
                <w:rFonts w:ascii="Times New Roman" w:hAnsi="Times New Roman"/>
                <w:b w:val="0"/>
                <w:sz w:val="24"/>
              </w:rPr>
              <w:t>Количество квартир, реализуемых за год</w:t>
            </w:r>
          </w:p>
        </w:tc>
        <w:tc>
          <w:tcPr>
            <w:tcW w:type="dxa" w:w="1020"/>
          </w:tcPr>
          <w:p>
            <w:pPr>
              <w:spacing w:before="0" w:after="0" w:line="240" w:lineRule="auto"/>
              <w:ind w:firstLine="0"/>
              <w:jc w:val="left"/>
            </w:pPr>
            <w:r/>
            <w:r>
              <w:rPr>
                <w:rFonts w:ascii="Times New Roman" w:hAnsi="Times New Roman"/>
                <w:b w:val="0"/>
                <w:sz w:val="24"/>
              </w:rPr>
              <w:t>Nреал</w:t>
            </w:r>
          </w:p>
        </w:tc>
        <w:tc>
          <w:tcPr>
            <w:tcW w:type="dxa" w:w="1247"/>
          </w:tcPr>
          <w:p>
            <w:pPr>
              <w:spacing w:before="0" w:after="0" w:line="240" w:lineRule="auto"/>
              <w:ind w:firstLine="0"/>
              <w:jc w:val="left"/>
            </w:pPr>
            <w:r/>
            <w:r>
              <w:rPr>
                <w:rFonts w:ascii="Times New Roman" w:hAnsi="Times New Roman"/>
                <w:b w:val="0"/>
                <w:sz w:val="24"/>
              </w:rPr>
              <w:t>686 ед.</w:t>
            </w:r>
          </w:p>
        </w:tc>
        <w:tc>
          <w:tcPr>
            <w:tcW w:type="dxa" w:w="3458"/>
          </w:tcPr>
          <w:p>
            <w:pPr>
              <w:spacing w:before="0" w:after="0" w:line="240" w:lineRule="auto"/>
              <w:ind w:firstLine="0"/>
              <w:jc w:val="left"/>
            </w:pPr>
            <w:r/>
            <w:r>
              <w:rPr>
                <w:rFonts w:ascii="Times New Roman" w:hAnsi="Times New Roman"/>
                <w:b w:val="0"/>
                <w:sz w:val="24"/>
              </w:rPr>
              <w:t>40 % от 1 715 квартир текущего предложения</w:t>
            </w:r>
          </w:p>
        </w:tc>
      </w:tr>
      <w:tr>
        <w:tc>
          <w:tcPr>
            <w:tcW w:type="dxa" w:w="680"/>
          </w:tcPr>
          <w:p>
            <w:pPr>
              <w:spacing w:before="0" w:after="0" w:line="240" w:lineRule="auto"/>
              <w:ind w:firstLine="0"/>
              <w:jc w:val="left"/>
            </w:pPr>
            <w:r/>
            <w:r>
              <w:rPr>
                <w:rFonts w:ascii="Times New Roman" w:hAnsi="Times New Roman"/>
                <w:b w:val="0"/>
                <w:sz w:val="24"/>
              </w:rPr>
              <w:t>5</w:t>
            </w:r>
          </w:p>
        </w:tc>
        <w:tc>
          <w:tcPr>
            <w:tcW w:type="dxa" w:w="2381"/>
          </w:tcPr>
          <w:p>
            <w:pPr>
              <w:spacing w:before="0" w:after="0" w:line="240" w:lineRule="auto"/>
              <w:ind w:firstLine="0"/>
              <w:jc w:val="left"/>
            </w:pPr>
            <w:r/>
            <w:r>
              <w:rPr>
                <w:rFonts w:ascii="Times New Roman" w:hAnsi="Times New Roman"/>
                <w:b w:val="0"/>
                <w:sz w:val="24"/>
              </w:rPr>
              <w:t>Средняя цена реализуемой квартиры</w:t>
            </w:r>
          </w:p>
        </w:tc>
        <w:tc>
          <w:tcPr>
            <w:tcW w:type="dxa" w:w="1020"/>
          </w:tcPr>
          <w:p>
            <w:pPr>
              <w:spacing w:before="0" w:after="0" w:line="240" w:lineRule="auto"/>
              <w:ind w:firstLine="0"/>
              <w:jc w:val="left"/>
            </w:pPr>
            <w:r/>
            <w:r>
              <w:rPr>
                <w:rFonts w:ascii="Times New Roman" w:hAnsi="Times New Roman"/>
                <w:b w:val="0"/>
                <w:sz w:val="24"/>
              </w:rPr>
              <w:t>Pкв</w:t>
            </w:r>
          </w:p>
        </w:tc>
        <w:tc>
          <w:tcPr>
            <w:tcW w:type="dxa" w:w="1247"/>
          </w:tcPr>
          <w:p>
            <w:pPr>
              <w:spacing w:before="0" w:after="0" w:line="240" w:lineRule="auto"/>
              <w:ind w:firstLine="0"/>
              <w:jc w:val="left"/>
            </w:pPr>
            <w:r/>
            <w:r>
              <w:rPr>
                <w:rFonts w:ascii="Times New Roman" w:hAnsi="Times New Roman"/>
                <w:b w:val="0"/>
                <w:sz w:val="24"/>
              </w:rPr>
              <w:t>21,66 млн руб.</w:t>
            </w:r>
          </w:p>
        </w:tc>
        <w:tc>
          <w:tcPr>
            <w:tcW w:type="dxa" w:w="3458"/>
          </w:tcPr>
          <w:p>
            <w:pPr>
              <w:spacing w:before="0" w:after="0" w:line="240" w:lineRule="auto"/>
              <w:ind w:firstLine="0"/>
              <w:jc w:val="left"/>
            </w:pPr>
            <w:r/>
            <w:r>
              <w:rPr>
                <w:rFonts w:ascii="Times New Roman" w:hAnsi="Times New Roman"/>
                <w:b w:val="0"/>
                <w:sz w:val="24"/>
              </w:rPr>
              <w:t>Фактический срез предложения на 27.09.2026</w:t>
            </w:r>
          </w:p>
        </w:tc>
      </w:tr>
      <w:tr>
        <w:tc>
          <w:tcPr>
            <w:tcW w:type="dxa" w:w="680"/>
          </w:tcPr>
          <w:p>
            <w:pPr>
              <w:spacing w:before="0" w:after="0" w:line="240" w:lineRule="auto"/>
              <w:ind w:firstLine="0"/>
              <w:jc w:val="left"/>
            </w:pPr>
            <w:r/>
            <w:r>
              <w:rPr>
                <w:rFonts w:ascii="Times New Roman" w:hAnsi="Times New Roman"/>
                <w:b w:val="0"/>
                <w:sz w:val="24"/>
              </w:rPr>
              <w:t>6</w:t>
            </w:r>
          </w:p>
        </w:tc>
        <w:tc>
          <w:tcPr>
            <w:tcW w:type="dxa" w:w="2381"/>
          </w:tcPr>
          <w:p>
            <w:pPr>
              <w:spacing w:before="0" w:after="0" w:line="240" w:lineRule="auto"/>
              <w:ind w:firstLine="0"/>
              <w:jc w:val="left"/>
            </w:pPr>
            <w:r/>
            <w:r>
              <w:rPr>
                <w:rFonts w:ascii="Times New Roman" w:hAnsi="Times New Roman"/>
                <w:b w:val="0"/>
                <w:sz w:val="24"/>
              </w:rPr>
              <w:t>Относительный прирост цены реализации</w:t>
            </w:r>
          </w:p>
        </w:tc>
        <w:tc>
          <w:tcPr>
            <w:tcW w:type="dxa" w:w="1020"/>
          </w:tcPr>
          <w:p>
            <w:pPr>
              <w:spacing w:before="0" w:after="0" w:line="240" w:lineRule="auto"/>
              <w:ind w:firstLine="0"/>
              <w:jc w:val="left"/>
            </w:pPr>
            <w:r/>
            <w:r>
              <w:rPr>
                <w:rFonts w:ascii="Times New Roman" w:hAnsi="Times New Roman"/>
                <w:b w:val="0"/>
                <w:sz w:val="24"/>
              </w:rPr>
              <w:t>Δp</w:t>
            </w:r>
          </w:p>
        </w:tc>
        <w:tc>
          <w:tcPr>
            <w:tcW w:type="dxa" w:w="1247"/>
          </w:tcPr>
          <w:p>
            <w:pPr>
              <w:spacing w:before="0" w:after="0" w:line="240" w:lineRule="auto"/>
              <w:ind w:firstLine="0"/>
              <w:jc w:val="left"/>
            </w:pPr>
            <w:r/>
            <w:r>
              <w:rPr>
                <w:rFonts w:ascii="Times New Roman" w:hAnsi="Times New Roman"/>
                <w:b w:val="0"/>
                <w:sz w:val="24"/>
              </w:rPr>
              <w:t>0,1 %</w:t>
            </w:r>
          </w:p>
        </w:tc>
        <w:tc>
          <w:tcPr>
            <w:tcW w:type="dxa" w:w="3458"/>
          </w:tcPr>
          <w:p>
            <w:pPr>
              <w:spacing w:before="0" w:after="0" w:line="240" w:lineRule="auto"/>
              <w:ind w:firstLine="0"/>
              <w:jc w:val="left"/>
            </w:pPr>
            <w:r/>
            <w:r>
              <w:rPr>
                <w:rFonts w:ascii="Times New Roman" w:hAnsi="Times New Roman"/>
                <w:b w:val="0"/>
                <w:sz w:val="24"/>
              </w:rPr>
              <w:t>Консервативная оценка; проверяется сценарным анализом в подразделе 2.3</w:t>
            </w:r>
          </w:p>
        </w:tc>
      </w:tr>
      <w:tr>
        <w:tc>
          <w:tcPr>
            <w:tcW w:type="dxa" w:w="680"/>
          </w:tcPr>
          <w:p>
            <w:pPr>
              <w:spacing w:before="0" w:after="0" w:line="240" w:lineRule="auto"/>
              <w:ind w:firstLine="0"/>
              <w:jc w:val="left"/>
            </w:pPr>
            <w:r/>
            <w:r>
              <w:rPr>
                <w:rFonts w:ascii="Times New Roman" w:hAnsi="Times New Roman"/>
                <w:b w:val="0"/>
                <w:sz w:val="24"/>
              </w:rPr>
              <w:t>7</w:t>
            </w:r>
          </w:p>
        </w:tc>
        <w:tc>
          <w:tcPr>
            <w:tcW w:type="dxa" w:w="2381"/>
          </w:tcPr>
          <w:p>
            <w:pPr>
              <w:spacing w:before="0" w:after="0" w:line="240" w:lineRule="auto"/>
              <w:ind w:firstLine="0"/>
              <w:jc w:val="left"/>
            </w:pPr>
            <w:r/>
            <w:r>
              <w:rPr>
                <w:rFonts w:ascii="Times New Roman" w:hAnsi="Times New Roman"/>
                <w:b w:val="0"/>
                <w:sz w:val="24"/>
              </w:rPr>
              <w:t>Отказ от подписок на коммерческую аналитику</w:t>
            </w:r>
          </w:p>
        </w:tc>
        <w:tc>
          <w:tcPr>
            <w:tcW w:type="dxa" w:w="1020"/>
          </w:tcPr>
          <w:p>
            <w:pPr>
              <w:spacing w:before="0" w:after="0" w:line="240" w:lineRule="auto"/>
              <w:ind w:firstLine="0"/>
              <w:jc w:val="left"/>
            </w:pPr>
            <w:r/>
            <w:r>
              <w:rPr>
                <w:rFonts w:ascii="Times New Roman" w:hAnsi="Times New Roman"/>
                <w:b w:val="0"/>
                <w:sz w:val="24"/>
              </w:rPr>
              <w:t>Э₃</w:t>
            </w:r>
          </w:p>
        </w:tc>
        <w:tc>
          <w:tcPr>
            <w:tcW w:type="dxa" w:w="1247"/>
          </w:tcPr>
          <w:p>
            <w:pPr>
              <w:spacing w:before="0" w:after="0" w:line="240" w:lineRule="auto"/>
              <w:ind w:firstLine="0"/>
              <w:jc w:val="left"/>
            </w:pPr>
            <w:r/>
            <w:r>
              <w:rPr>
                <w:rFonts w:ascii="Times New Roman" w:hAnsi="Times New Roman"/>
                <w:b w:val="0"/>
                <w:sz w:val="24"/>
              </w:rPr>
              <w:t>5 × 180 000 руб.</w:t>
            </w:r>
          </w:p>
        </w:tc>
        <w:tc>
          <w:tcPr>
            <w:tcW w:type="dxa" w:w="3458"/>
          </w:tcPr>
          <w:p>
            <w:pPr>
              <w:spacing w:before="0" w:after="0" w:line="240" w:lineRule="auto"/>
              <w:ind w:firstLine="0"/>
              <w:jc w:val="left"/>
            </w:pPr>
            <w:r/>
            <w:r>
              <w:rPr>
                <w:rFonts w:ascii="Times New Roman" w:hAnsi="Times New Roman"/>
                <w:b w:val="0"/>
                <w:sz w:val="24"/>
              </w:rPr>
              <w:t>Пять рабочих мест по среднерыночной стоимости подписки [22, 23]</w:t>
            </w:r>
          </w:p>
        </w:tc>
      </w:tr>
    </w:tbl>
    <w:p>
      <w:pPr>
        <w:spacing w:before="0" w:after="0" w:line="360" w:lineRule="auto"/>
        <w:ind w:firstLine="0"/>
      </w:pPr>
    </w:p>
    <w:p>
      <w:pPr>
        <w:spacing w:before="0" w:after="0" w:line="360" w:lineRule="auto"/>
        <w:ind w:firstLine="709"/>
        <w:jc w:val="both"/>
      </w:pPr>
      <w:r>
        <w:rPr>
          <w:b w:val="0"/>
        </w:rPr>
        <w:t>Расчёт годовых выгод по компонентам приведён в таблице 2.7.</w:t>
      </w:r>
    </w:p>
    <w:p>
      <w:pPr>
        <w:spacing w:before="120" w:after="0" w:line="240" w:lineRule="auto"/>
        <w:ind w:firstLine="0"/>
        <w:jc w:val="left"/>
      </w:pPr>
      <w:r>
        <w:rPr>
          <w:b w:val="0"/>
        </w:rPr>
        <w:t>Таблица 2.7 – Расчёт денежной оценки годовых выгод от внедрения</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680"/>
          </w:tcPr>
          <w:p>
            <w:pPr>
              <w:spacing w:before="0" w:after="0" w:line="240" w:lineRule="auto"/>
              <w:ind w:firstLine="0"/>
              <w:jc w:val="center"/>
            </w:pPr>
            <w:r/>
            <w:r>
              <w:rPr>
                <w:rFonts w:ascii="Times New Roman" w:hAnsi="Times New Roman"/>
                <w:b/>
                <w:sz w:val="24"/>
              </w:rPr>
              <w:t>№ п/п</w:t>
            </w:r>
          </w:p>
        </w:tc>
        <w:tc>
          <w:tcPr>
            <w:tcW w:type="dxa" w:w="3061"/>
          </w:tcPr>
          <w:p>
            <w:pPr>
              <w:spacing w:before="0" w:after="0" w:line="240" w:lineRule="auto"/>
              <w:ind w:firstLine="0"/>
              <w:jc w:val="center"/>
            </w:pPr>
            <w:r/>
            <w:r>
              <w:rPr>
                <w:rFonts w:ascii="Times New Roman" w:hAnsi="Times New Roman"/>
                <w:b/>
                <w:sz w:val="24"/>
              </w:rPr>
              <w:t>Показатель</w:t>
            </w:r>
          </w:p>
        </w:tc>
        <w:tc>
          <w:tcPr>
            <w:tcW w:type="dxa" w:w="3061"/>
          </w:tcPr>
          <w:p>
            <w:pPr>
              <w:spacing w:before="0" w:after="0" w:line="240" w:lineRule="auto"/>
              <w:ind w:firstLine="0"/>
              <w:jc w:val="center"/>
            </w:pPr>
            <w:r/>
            <w:r>
              <w:rPr>
                <w:rFonts w:ascii="Times New Roman" w:hAnsi="Times New Roman"/>
                <w:b/>
                <w:sz w:val="24"/>
              </w:rPr>
              <w:t>Формула расчёта</w:t>
            </w:r>
          </w:p>
        </w:tc>
        <w:tc>
          <w:tcPr>
            <w:tcW w:type="dxa" w:w="1984"/>
          </w:tcPr>
          <w:p>
            <w:pPr>
              <w:spacing w:before="0" w:after="0" w:line="240" w:lineRule="auto"/>
              <w:ind w:firstLine="0"/>
              <w:jc w:val="center"/>
            </w:pPr>
            <w:r/>
            <w:r>
              <w:rPr>
                <w:rFonts w:ascii="Times New Roman" w:hAnsi="Times New Roman"/>
                <w:b/>
                <w:sz w:val="24"/>
              </w:rPr>
              <w:t>Значение, руб.</w:t>
            </w:r>
          </w:p>
        </w:tc>
      </w:tr>
      <w:tr>
        <w:tc>
          <w:tcPr>
            <w:tcW w:type="dxa" w:w="680"/>
          </w:tcPr>
          <w:p>
            <w:pPr>
              <w:spacing w:before="0" w:after="0" w:line="240" w:lineRule="auto"/>
              <w:ind w:firstLine="0"/>
              <w:jc w:val="left"/>
            </w:pPr>
            <w:r/>
            <w:r>
              <w:rPr>
                <w:rFonts w:ascii="Times New Roman" w:hAnsi="Times New Roman"/>
                <w:b w:val="0"/>
                <w:sz w:val="24"/>
              </w:rPr>
              <w:t>1</w:t>
            </w:r>
          </w:p>
        </w:tc>
        <w:tc>
          <w:tcPr>
            <w:tcW w:type="dxa" w:w="3061"/>
          </w:tcPr>
          <w:p>
            <w:pPr>
              <w:spacing w:before="0" w:after="0" w:line="240" w:lineRule="auto"/>
              <w:ind w:firstLine="0"/>
              <w:jc w:val="left"/>
            </w:pPr>
            <w:r/>
            <w:r>
              <w:rPr>
                <w:rFonts w:ascii="Times New Roman" w:hAnsi="Times New Roman"/>
                <w:b w:val="0"/>
                <w:sz w:val="24"/>
              </w:rPr>
              <w:t>Экономия трудозатрат пользователей</w:t>
            </w:r>
          </w:p>
        </w:tc>
        <w:tc>
          <w:tcPr>
            <w:tcW w:type="dxa" w:w="3061"/>
          </w:tcPr>
          <w:p>
            <w:pPr>
              <w:spacing w:before="0" w:after="0" w:line="240" w:lineRule="auto"/>
              <w:ind w:firstLine="0"/>
              <w:jc w:val="left"/>
            </w:pPr>
            <w:r/>
            <w:r>
              <w:rPr>
                <w:rFonts w:ascii="Times New Roman" w:hAnsi="Times New Roman"/>
                <w:b w:val="0"/>
                <w:sz w:val="24"/>
              </w:rPr>
              <w:t>Э₁ = 25 × 8 × 800 × 12</w:t>
            </w:r>
          </w:p>
        </w:tc>
        <w:tc>
          <w:tcPr>
            <w:tcW w:type="dxa" w:w="1984"/>
          </w:tcPr>
          <w:p>
            <w:pPr>
              <w:spacing w:before="0" w:after="0" w:line="240" w:lineRule="auto"/>
              <w:ind w:firstLine="0"/>
              <w:jc w:val="left"/>
            </w:pPr>
            <w:r/>
            <w:r>
              <w:rPr>
                <w:rFonts w:ascii="Times New Roman" w:hAnsi="Times New Roman"/>
                <w:b w:val="0"/>
                <w:sz w:val="24"/>
              </w:rPr>
              <w:t>1 920 000</w:t>
            </w:r>
          </w:p>
        </w:tc>
      </w:tr>
      <w:tr>
        <w:tc>
          <w:tcPr>
            <w:tcW w:type="dxa" w:w="680"/>
          </w:tcPr>
          <w:p>
            <w:pPr>
              <w:spacing w:before="0" w:after="0" w:line="240" w:lineRule="auto"/>
              <w:ind w:firstLine="0"/>
              <w:jc w:val="left"/>
            </w:pPr>
            <w:r/>
            <w:r>
              <w:rPr>
                <w:rFonts w:ascii="Times New Roman" w:hAnsi="Times New Roman"/>
                <w:b w:val="0"/>
                <w:sz w:val="24"/>
              </w:rPr>
              <w:t>2</w:t>
            </w:r>
          </w:p>
        </w:tc>
        <w:tc>
          <w:tcPr>
            <w:tcW w:type="dxa" w:w="3061"/>
          </w:tcPr>
          <w:p>
            <w:pPr>
              <w:spacing w:before="0" w:after="0" w:line="240" w:lineRule="auto"/>
              <w:ind w:firstLine="0"/>
              <w:jc w:val="left"/>
            </w:pPr>
            <w:r/>
            <w:r>
              <w:rPr>
                <w:rFonts w:ascii="Times New Roman" w:hAnsi="Times New Roman"/>
                <w:b w:val="0"/>
                <w:sz w:val="24"/>
              </w:rPr>
              <w:t>Прирост дохода от реализации квартир</w:t>
            </w:r>
          </w:p>
        </w:tc>
        <w:tc>
          <w:tcPr>
            <w:tcW w:type="dxa" w:w="3061"/>
          </w:tcPr>
          <w:p>
            <w:pPr>
              <w:spacing w:before="0" w:after="0" w:line="240" w:lineRule="auto"/>
              <w:ind w:firstLine="0"/>
              <w:jc w:val="left"/>
            </w:pPr>
            <w:r/>
            <w:r>
              <w:rPr>
                <w:rFonts w:ascii="Times New Roman" w:hAnsi="Times New Roman"/>
                <w:b w:val="0"/>
                <w:sz w:val="24"/>
              </w:rPr>
              <w:t>Э₂ = 686 × 21 660 000 × 0,001</w:t>
            </w:r>
          </w:p>
        </w:tc>
        <w:tc>
          <w:tcPr>
            <w:tcW w:type="dxa" w:w="1984"/>
          </w:tcPr>
          <w:p>
            <w:pPr>
              <w:spacing w:before="0" w:after="0" w:line="240" w:lineRule="auto"/>
              <w:ind w:firstLine="0"/>
              <w:jc w:val="left"/>
            </w:pPr>
            <w:r/>
            <w:r>
              <w:rPr>
                <w:rFonts w:ascii="Times New Roman" w:hAnsi="Times New Roman"/>
                <w:b w:val="0"/>
                <w:sz w:val="24"/>
              </w:rPr>
              <w:t>14 858 760</w:t>
            </w:r>
          </w:p>
        </w:tc>
      </w:tr>
      <w:tr>
        <w:tc>
          <w:tcPr>
            <w:tcW w:type="dxa" w:w="680"/>
          </w:tcPr>
          <w:p>
            <w:pPr>
              <w:spacing w:before="0" w:after="0" w:line="240" w:lineRule="auto"/>
              <w:ind w:firstLine="0"/>
              <w:jc w:val="left"/>
            </w:pPr>
            <w:r/>
            <w:r>
              <w:rPr>
                <w:rFonts w:ascii="Times New Roman" w:hAnsi="Times New Roman"/>
                <w:b w:val="0"/>
                <w:sz w:val="24"/>
              </w:rPr>
              <w:t>3</w:t>
            </w:r>
          </w:p>
        </w:tc>
        <w:tc>
          <w:tcPr>
            <w:tcW w:type="dxa" w:w="3061"/>
          </w:tcPr>
          <w:p>
            <w:pPr>
              <w:spacing w:before="0" w:after="0" w:line="240" w:lineRule="auto"/>
              <w:ind w:firstLine="0"/>
              <w:jc w:val="left"/>
            </w:pPr>
            <w:r/>
            <w:r>
              <w:rPr>
                <w:rFonts w:ascii="Times New Roman" w:hAnsi="Times New Roman"/>
                <w:b w:val="0"/>
                <w:sz w:val="24"/>
              </w:rPr>
              <w:t>Отказ от сторонней коммерческой аналитики</w:t>
            </w:r>
          </w:p>
        </w:tc>
        <w:tc>
          <w:tcPr>
            <w:tcW w:type="dxa" w:w="3061"/>
          </w:tcPr>
          <w:p>
            <w:pPr>
              <w:spacing w:before="0" w:after="0" w:line="240" w:lineRule="auto"/>
              <w:ind w:firstLine="0"/>
              <w:jc w:val="left"/>
            </w:pPr>
            <w:r/>
            <w:r>
              <w:rPr>
                <w:rFonts w:ascii="Times New Roman" w:hAnsi="Times New Roman"/>
                <w:b w:val="0"/>
                <w:sz w:val="24"/>
              </w:rPr>
              <w:t>Э₃ = 5 × 180 000</w:t>
            </w:r>
          </w:p>
        </w:tc>
        <w:tc>
          <w:tcPr>
            <w:tcW w:type="dxa" w:w="1984"/>
          </w:tcPr>
          <w:p>
            <w:pPr>
              <w:spacing w:before="0" w:after="0" w:line="240" w:lineRule="auto"/>
              <w:ind w:firstLine="0"/>
              <w:jc w:val="left"/>
            </w:pPr>
            <w:r/>
            <w:r>
              <w:rPr>
                <w:rFonts w:ascii="Times New Roman" w:hAnsi="Times New Roman"/>
                <w:b w:val="0"/>
                <w:sz w:val="24"/>
              </w:rPr>
              <w:t>900 000</w:t>
            </w:r>
          </w:p>
        </w:tc>
      </w:tr>
      <w:tr>
        <w:tc>
          <w:tcPr>
            <w:tcW w:type="dxa" w:w="680"/>
          </w:tcPr>
          <w:p>
            <w:pPr>
              <w:spacing w:before="0" w:after="0" w:line="240" w:lineRule="auto"/>
              <w:ind w:firstLine="0"/>
              <w:jc w:val="left"/>
            </w:pPr>
            <w:r/>
            <w:r>
              <w:rPr>
                <w:rFonts w:ascii="Times New Roman" w:hAnsi="Times New Roman"/>
                <w:b w:val="0"/>
                <w:sz w:val="24"/>
              </w:rPr>
            </w:r>
          </w:p>
        </w:tc>
        <w:tc>
          <w:tcPr>
            <w:tcW w:type="dxa" w:w="3061"/>
          </w:tcPr>
          <w:p>
            <w:pPr>
              <w:spacing w:before="0" w:after="0" w:line="240" w:lineRule="auto"/>
              <w:ind w:firstLine="0"/>
              <w:jc w:val="left"/>
            </w:pPr>
            <w:r/>
            <w:r>
              <w:rPr>
                <w:rFonts w:ascii="Times New Roman" w:hAnsi="Times New Roman"/>
                <w:b w:val="0"/>
                <w:sz w:val="24"/>
              </w:rPr>
              <w:t>ИТОГО годовые выгоды</w:t>
            </w:r>
          </w:p>
        </w:tc>
        <w:tc>
          <w:tcPr>
            <w:tcW w:type="dxa" w:w="3061"/>
          </w:tcPr>
          <w:p>
            <w:pPr>
              <w:spacing w:before="0" w:after="0" w:line="240" w:lineRule="auto"/>
              <w:ind w:firstLine="0"/>
              <w:jc w:val="left"/>
            </w:pPr>
            <w:r/>
            <w:r>
              <w:rPr>
                <w:rFonts w:ascii="Times New Roman" w:hAnsi="Times New Roman"/>
                <w:b w:val="0"/>
                <w:sz w:val="24"/>
              </w:rPr>
              <w:t>Vгод = Э₁ + Э₂ + Э₃</w:t>
            </w:r>
          </w:p>
        </w:tc>
        <w:tc>
          <w:tcPr>
            <w:tcW w:type="dxa" w:w="1984"/>
          </w:tcPr>
          <w:p>
            <w:pPr>
              <w:spacing w:before="0" w:after="0" w:line="240" w:lineRule="auto"/>
              <w:ind w:firstLine="0"/>
              <w:jc w:val="left"/>
            </w:pPr>
            <w:r/>
            <w:r>
              <w:rPr>
                <w:rFonts w:ascii="Times New Roman" w:hAnsi="Times New Roman"/>
                <w:b w:val="0"/>
                <w:sz w:val="24"/>
              </w:rPr>
              <w:t>17 678 760</w:t>
            </w:r>
          </w:p>
        </w:tc>
      </w:tr>
    </w:tbl>
    <w:p>
      <w:pPr>
        <w:spacing w:before="0" w:after="0" w:line="360" w:lineRule="auto"/>
        <w:ind w:firstLine="0"/>
      </w:pPr>
    </w:p>
    <w:p>
      <w:pPr>
        <w:spacing w:before="0" w:after="0" w:line="360" w:lineRule="auto"/>
        <w:ind w:firstLine="709"/>
        <w:jc w:val="both"/>
      </w:pPr>
      <w:r>
        <w:rPr>
          <w:b w:val="0"/>
        </w:rPr>
        <w:t>4. Расчёт финансового результата и рентабельности</w:t>
      </w:r>
    </w:p>
    <w:p>
      <w:pPr>
        <w:spacing w:before="0" w:after="0" w:line="360" w:lineRule="auto"/>
        <w:ind w:firstLine="709"/>
        <w:jc w:val="both"/>
      </w:pPr>
      <w:r>
        <w:rPr>
          <w:b w:val="0"/>
        </w:rPr>
        <w:t>Для определения чистого годового результата из денежной оценки выгод вычитаются переменные и операционные затраты. Переменная часть затрат для ведомственного продукта не связана с комиссиями платёжных систем, поскольку платежи пользователей отсутствуют; она определяется объёмом обрабатываемых данных (исходящий трафик, обращения к внешним геоинформационным сервисам, объём резервных копий) и принята на уровне 3 % от денежной оценки выгод. Налог на прибыль у заказчика не возникает: выгоды образуются у органа исполнительной власти и не являются прибылью коммерческой организации. Для сопоставимости с коммерческим вариантом эксплуатации величина налога приведена в таблице 2.8 справочно по базовой ставке 25 % (для аккредитованных организаций в сфере информационных технологий действует пониженная ставка [2]). Относительный результат оценивается по формуле рентабельности:</w:t>
      </w:r>
    </w:p>
    <w:p>
      <w:pPr>
        <w:tabs>
          <w:tab w:pos="4677" w:val="center"/>
          <w:tab w:pos="9354" w:val="right"/>
        </w:tabs>
        <w:spacing w:before="0" w:after="0" w:line="360" w:lineRule="auto"/>
        <w:ind w:firstLine="0"/>
        <w:jc w:val="left"/>
      </w:pPr>
      <w:r>
        <w:tab/>
        <w:t>ROS = (Pчист / Vгод) × 100 %</w:t>
        <w:tab/>
        <w:t>(6)</w:t>
      </w:r>
    </w:p>
    <w:p>
      <w:pPr>
        <w:spacing w:before="0" w:after="0" w:line="360" w:lineRule="auto"/>
        <w:ind w:firstLine="0"/>
        <w:jc w:val="both"/>
      </w:pPr>
      <w:r>
        <w:rPr>
          <w:b w:val="0"/>
        </w:rPr>
        <w:t>где Pчист – чистый годовой результат (эффект), руб.;</w:t>
      </w:r>
    </w:p>
    <w:p>
      <w:pPr>
        <w:spacing w:before="0" w:after="0" w:line="360" w:lineRule="auto"/>
        <w:ind w:firstLine="0"/>
        <w:jc w:val="both"/>
      </w:pPr>
      <w:r>
        <w:rPr>
          <w:b w:val="0"/>
        </w:rPr>
        <w:t>Vгод – денежная оценка годовых выгод, руб.</w:t>
      </w:r>
    </w:p>
    <w:p>
      <w:pPr>
        <w:spacing w:before="120" w:after="0" w:line="240" w:lineRule="auto"/>
        <w:ind w:firstLine="0"/>
        <w:jc w:val="left"/>
      </w:pPr>
      <w:r>
        <w:rPr>
          <w:b w:val="0"/>
        </w:rPr>
        <w:t>Таблица 2.8 – Прогнозный годовой финансовый результат внедрения</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680"/>
          </w:tcPr>
          <w:p>
            <w:pPr>
              <w:spacing w:before="0" w:after="0" w:line="240" w:lineRule="auto"/>
              <w:ind w:firstLine="0"/>
              <w:jc w:val="center"/>
            </w:pPr>
            <w:r/>
            <w:r>
              <w:rPr>
                <w:rFonts w:ascii="Times New Roman" w:hAnsi="Times New Roman"/>
                <w:b/>
                <w:sz w:val="24"/>
              </w:rPr>
              <w:t>№ п/п</w:t>
            </w:r>
          </w:p>
        </w:tc>
        <w:tc>
          <w:tcPr>
            <w:tcW w:type="dxa" w:w="3175"/>
          </w:tcPr>
          <w:p>
            <w:pPr>
              <w:spacing w:before="0" w:after="0" w:line="240" w:lineRule="auto"/>
              <w:ind w:firstLine="0"/>
              <w:jc w:val="center"/>
            </w:pPr>
            <w:r/>
            <w:r>
              <w:rPr>
                <w:rFonts w:ascii="Times New Roman" w:hAnsi="Times New Roman"/>
                <w:b/>
                <w:sz w:val="24"/>
              </w:rPr>
              <w:t>Показатель</w:t>
            </w:r>
          </w:p>
        </w:tc>
        <w:tc>
          <w:tcPr>
            <w:tcW w:type="dxa" w:w="2551"/>
          </w:tcPr>
          <w:p>
            <w:pPr>
              <w:spacing w:before="0" w:after="0" w:line="240" w:lineRule="auto"/>
              <w:ind w:firstLine="0"/>
              <w:jc w:val="center"/>
            </w:pPr>
            <w:r/>
            <w:r>
              <w:rPr>
                <w:rFonts w:ascii="Times New Roman" w:hAnsi="Times New Roman"/>
                <w:b/>
                <w:sz w:val="24"/>
              </w:rPr>
              <w:t>Формула расчёта</w:t>
            </w:r>
          </w:p>
        </w:tc>
        <w:tc>
          <w:tcPr>
            <w:tcW w:type="dxa" w:w="2381"/>
          </w:tcPr>
          <w:p>
            <w:pPr>
              <w:spacing w:before="0" w:after="0" w:line="240" w:lineRule="auto"/>
              <w:ind w:firstLine="0"/>
              <w:jc w:val="center"/>
            </w:pPr>
            <w:r/>
            <w:r>
              <w:rPr>
                <w:rFonts w:ascii="Times New Roman" w:hAnsi="Times New Roman"/>
                <w:b/>
                <w:sz w:val="24"/>
              </w:rPr>
              <w:t>Значение, руб.</w:t>
            </w:r>
          </w:p>
        </w:tc>
      </w:tr>
      <w:tr>
        <w:tc>
          <w:tcPr>
            <w:tcW w:type="dxa" w:w="680"/>
          </w:tcPr>
          <w:p>
            <w:pPr>
              <w:spacing w:before="0" w:after="0" w:line="240" w:lineRule="auto"/>
              <w:ind w:firstLine="0"/>
              <w:jc w:val="left"/>
            </w:pPr>
            <w:r/>
            <w:r>
              <w:rPr>
                <w:rFonts w:ascii="Times New Roman" w:hAnsi="Times New Roman"/>
                <w:b w:val="0"/>
                <w:sz w:val="24"/>
              </w:rPr>
              <w:t>1</w:t>
            </w:r>
          </w:p>
        </w:tc>
        <w:tc>
          <w:tcPr>
            <w:tcW w:type="dxa" w:w="3175"/>
          </w:tcPr>
          <w:p>
            <w:pPr>
              <w:spacing w:before="0" w:after="0" w:line="240" w:lineRule="auto"/>
              <w:ind w:firstLine="0"/>
              <w:jc w:val="left"/>
            </w:pPr>
            <w:r/>
            <w:r>
              <w:rPr>
                <w:rFonts w:ascii="Times New Roman" w:hAnsi="Times New Roman"/>
                <w:b w:val="0"/>
                <w:sz w:val="24"/>
              </w:rPr>
              <w:t>Денежная оценка годовых выгод</w:t>
            </w:r>
          </w:p>
        </w:tc>
        <w:tc>
          <w:tcPr>
            <w:tcW w:type="dxa" w:w="2551"/>
          </w:tcPr>
          <w:p>
            <w:pPr>
              <w:spacing w:before="0" w:after="0" w:line="240" w:lineRule="auto"/>
              <w:ind w:firstLine="0"/>
              <w:jc w:val="left"/>
            </w:pPr>
            <w:r/>
            <w:r>
              <w:rPr>
                <w:rFonts w:ascii="Times New Roman" w:hAnsi="Times New Roman"/>
                <w:b w:val="0"/>
                <w:sz w:val="24"/>
              </w:rPr>
              <w:t>Vгод (из таблицы 2.7)</w:t>
            </w:r>
          </w:p>
        </w:tc>
        <w:tc>
          <w:tcPr>
            <w:tcW w:type="dxa" w:w="2381"/>
          </w:tcPr>
          <w:p>
            <w:pPr>
              <w:spacing w:before="0" w:after="0" w:line="240" w:lineRule="auto"/>
              <w:ind w:firstLine="0"/>
              <w:jc w:val="left"/>
            </w:pPr>
            <w:r/>
            <w:r>
              <w:rPr>
                <w:rFonts w:ascii="Times New Roman" w:hAnsi="Times New Roman"/>
                <w:b w:val="0"/>
                <w:sz w:val="24"/>
              </w:rPr>
              <w:t>17 678 760</w:t>
            </w:r>
          </w:p>
        </w:tc>
      </w:tr>
      <w:tr>
        <w:tc>
          <w:tcPr>
            <w:tcW w:type="dxa" w:w="680"/>
          </w:tcPr>
          <w:p>
            <w:pPr>
              <w:spacing w:before="0" w:after="0" w:line="240" w:lineRule="auto"/>
              <w:ind w:firstLine="0"/>
              <w:jc w:val="left"/>
            </w:pPr>
            <w:r/>
            <w:r>
              <w:rPr>
                <w:rFonts w:ascii="Times New Roman" w:hAnsi="Times New Roman"/>
                <w:b w:val="0"/>
                <w:sz w:val="24"/>
              </w:rPr>
              <w:t>2</w:t>
            </w:r>
          </w:p>
        </w:tc>
        <w:tc>
          <w:tcPr>
            <w:tcW w:type="dxa" w:w="3175"/>
          </w:tcPr>
          <w:p>
            <w:pPr>
              <w:spacing w:before="0" w:after="0" w:line="240" w:lineRule="auto"/>
              <w:ind w:firstLine="0"/>
              <w:jc w:val="left"/>
            </w:pPr>
            <w:r/>
            <w:r>
              <w:rPr>
                <w:rFonts w:ascii="Times New Roman" w:hAnsi="Times New Roman"/>
                <w:b w:val="0"/>
                <w:sz w:val="24"/>
              </w:rPr>
              <w:t>Переменные расходы</w:t>
            </w:r>
          </w:p>
        </w:tc>
        <w:tc>
          <w:tcPr>
            <w:tcW w:type="dxa" w:w="2551"/>
          </w:tcPr>
          <w:p>
            <w:pPr>
              <w:spacing w:before="0" w:after="0" w:line="240" w:lineRule="auto"/>
              <w:ind w:firstLine="0"/>
              <w:jc w:val="left"/>
            </w:pPr>
            <w:r/>
            <w:r>
              <w:rPr>
                <w:rFonts w:ascii="Times New Roman" w:hAnsi="Times New Roman"/>
                <w:b w:val="0"/>
                <w:sz w:val="24"/>
              </w:rPr>
              <w:t>Cпер = Vгод × 3 %</w:t>
            </w:r>
          </w:p>
        </w:tc>
        <w:tc>
          <w:tcPr>
            <w:tcW w:type="dxa" w:w="2381"/>
          </w:tcPr>
          <w:p>
            <w:pPr>
              <w:spacing w:before="0" w:after="0" w:line="240" w:lineRule="auto"/>
              <w:ind w:firstLine="0"/>
              <w:jc w:val="left"/>
            </w:pPr>
            <w:r/>
            <w:r>
              <w:rPr>
                <w:rFonts w:ascii="Times New Roman" w:hAnsi="Times New Roman"/>
                <w:b w:val="0"/>
                <w:sz w:val="24"/>
              </w:rPr>
              <w:t>530 363</w:t>
            </w:r>
          </w:p>
        </w:tc>
      </w:tr>
      <w:tr>
        <w:tc>
          <w:tcPr>
            <w:tcW w:type="dxa" w:w="680"/>
          </w:tcPr>
          <w:p>
            <w:pPr>
              <w:spacing w:before="0" w:after="0" w:line="240" w:lineRule="auto"/>
              <w:ind w:firstLine="0"/>
              <w:jc w:val="left"/>
            </w:pPr>
            <w:r/>
            <w:r>
              <w:rPr>
                <w:rFonts w:ascii="Times New Roman" w:hAnsi="Times New Roman"/>
                <w:b w:val="0"/>
                <w:sz w:val="24"/>
              </w:rPr>
              <w:t>3</w:t>
            </w:r>
          </w:p>
        </w:tc>
        <w:tc>
          <w:tcPr>
            <w:tcW w:type="dxa" w:w="3175"/>
          </w:tcPr>
          <w:p>
            <w:pPr>
              <w:spacing w:before="0" w:after="0" w:line="240" w:lineRule="auto"/>
              <w:ind w:firstLine="0"/>
              <w:jc w:val="left"/>
            </w:pPr>
            <w:r/>
            <w:r>
              <w:rPr>
                <w:rFonts w:ascii="Times New Roman" w:hAnsi="Times New Roman"/>
                <w:b w:val="0"/>
                <w:sz w:val="24"/>
              </w:rPr>
              <w:t>Валовый результат</w:t>
            </w:r>
          </w:p>
        </w:tc>
        <w:tc>
          <w:tcPr>
            <w:tcW w:type="dxa" w:w="2551"/>
          </w:tcPr>
          <w:p>
            <w:pPr>
              <w:spacing w:before="0" w:after="0" w:line="240" w:lineRule="auto"/>
              <w:ind w:firstLine="0"/>
              <w:jc w:val="left"/>
            </w:pPr>
            <w:r/>
            <w:r>
              <w:rPr>
                <w:rFonts w:ascii="Times New Roman" w:hAnsi="Times New Roman"/>
                <w:b w:val="0"/>
                <w:sz w:val="24"/>
              </w:rPr>
              <w:t>GP = Vгод − Cпер</w:t>
            </w:r>
          </w:p>
        </w:tc>
        <w:tc>
          <w:tcPr>
            <w:tcW w:type="dxa" w:w="2381"/>
          </w:tcPr>
          <w:p>
            <w:pPr>
              <w:spacing w:before="0" w:after="0" w:line="240" w:lineRule="auto"/>
              <w:ind w:firstLine="0"/>
              <w:jc w:val="left"/>
            </w:pPr>
            <w:r/>
            <w:r>
              <w:rPr>
                <w:rFonts w:ascii="Times New Roman" w:hAnsi="Times New Roman"/>
                <w:b w:val="0"/>
                <w:sz w:val="24"/>
              </w:rPr>
              <w:t>17 148 397</w:t>
            </w:r>
          </w:p>
        </w:tc>
      </w:tr>
      <w:tr>
        <w:tc>
          <w:tcPr>
            <w:tcW w:type="dxa" w:w="680"/>
          </w:tcPr>
          <w:p>
            <w:pPr>
              <w:spacing w:before="0" w:after="0" w:line="240" w:lineRule="auto"/>
              <w:ind w:firstLine="0"/>
              <w:jc w:val="left"/>
            </w:pPr>
            <w:r/>
            <w:r>
              <w:rPr>
                <w:rFonts w:ascii="Times New Roman" w:hAnsi="Times New Roman"/>
                <w:b w:val="0"/>
                <w:sz w:val="24"/>
              </w:rPr>
              <w:t>4</w:t>
            </w:r>
          </w:p>
        </w:tc>
        <w:tc>
          <w:tcPr>
            <w:tcW w:type="dxa" w:w="3175"/>
          </w:tcPr>
          <w:p>
            <w:pPr>
              <w:spacing w:before="0" w:after="0" w:line="240" w:lineRule="auto"/>
              <w:ind w:firstLine="0"/>
              <w:jc w:val="left"/>
            </w:pPr>
            <w:r/>
            <w:r>
              <w:rPr>
                <w:rFonts w:ascii="Times New Roman" w:hAnsi="Times New Roman"/>
                <w:b w:val="0"/>
                <w:sz w:val="24"/>
              </w:rPr>
              <w:t>Операционные расходы</w:t>
            </w:r>
          </w:p>
        </w:tc>
        <w:tc>
          <w:tcPr>
            <w:tcW w:type="dxa" w:w="2551"/>
          </w:tcPr>
          <w:p>
            <w:pPr>
              <w:spacing w:before="0" w:after="0" w:line="240" w:lineRule="auto"/>
              <w:ind w:firstLine="0"/>
              <w:jc w:val="left"/>
            </w:pPr>
            <w:r/>
            <w:r>
              <w:rPr>
                <w:rFonts w:ascii="Times New Roman" w:hAnsi="Times New Roman"/>
                <w:b w:val="0"/>
                <w:sz w:val="24"/>
              </w:rPr>
              <w:t>Copex (из таблицы 2.5)</w:t>
            </w:r>
          </w:p>
        </w:tc>
        <w:tc>
          <w:tcPr>
            <w:tcW w:type="dxa" w:w="2381"/>
          </w:tcPr>
          <w:p>
            <w:pPr>
              <w:spacing w:before="0" w:after="0" w:line="240" w:lineRule="auto"/>
              <w:ind w:firstLine="0"/>
              <w:jc w:val="left"/>
            </w:pPr>
            <w:r/>
            <w:r>
              <w:rPr>
                <w:rFonts w:ascii="Times New Roman" w:hAnsi="Times New Roman"/>
                <w:b w:val="0"/>
                <w:sz w:val="24"/>
              </w:rPr>
              <w:t>1 272 000</w:t>
            </w:r>
          </w:p>
        </w:tc>
      </w:tr>
      <w:tr>
        <w:tc>
          <w:tcPr>
            <w:tcW w:type="dxa" w:w="680"/>
          </w:tcPr>
          <w:p>
            <w:pPr>
              <w:spacing w:before="0" w:after="0" w:line="240" w:lineRule="auto"/>
              <w:ind w:firstLine="0"/>
              <w:jc w:val="left"/>
            </w:pPr>
            <w:r/>
            <w:r>
              <w:rPr>
                <w:rFonts w:ascii="Times New Roman" w:hAnsi="Times New Roman"/>
                <w:b w:val="0"/>
                <w:sz w:val="24"/>
              </w:rPr>
              <w:t>5</w:t>
            </w:r>
          </w:p>
        </w:tc>
        <w:tc>
          <w:tcPr>
            <w:tcW w:type="dxa" w:w="3175"/>
          </w:tcPr>
          <w:p>
            <w:pPr>
              <w:spacing w:before="0" w:after="0" w:line="240" w:lineRule="auto"/>
              <w:ind w:firstLine="0"/>
              <w:jc w:val="left"/>
            </w:pPr>
            <w:r/>
            <w:r>
              <w:rPr>
                <w:rFonts w:ascii="Times New Roman" w:hAnsi="Times New Roman"/>
                <w:b w:val="0"/>
                <w:sz w:val="24"/>
              </w:rPr>
              <w:t>Результат до налогообложения</w:t>
            </w:r>
          </w:p>
        </w:tc>
        <w:tc>
          <w:tcPr>
            <w:tcW w:type="dxa" w:w="2551"/>
          </w:tcPr>
          <w:p>
            <w:pPr>
              <w:spacing w:before="0" w:after="0" w:line="240" w:lineRule="auto"/>
              <w:ind w:firstLine="0"/>
              <w:jc w:val="left"/>
            </w:pPr>
            <w:r/>
            <w:r>
              <w:rPr>
                <w:rFonts w:ascii="Times New Roman" w:hAnsi="Times New Roman"/>
                <w:b w:val="0"/>
                <w:sz w:val="24"/>
              </w:rPr>
              <w:t>EBIT = GP − Copex</w:t>
            </w:r>
          </w:p>
        </w:tc>
        <w:tc>
          <w:tcPr>
            <w:tcW w:type="dxa" w:w="2381"/>
          </w:tcPr>
          <w:p>
            <w:pPr>
              <w:spacing w:before="0" w:after="0" w:line="240" w:lineRule="auto"/>
              <w:ind w:firstLine="0"/>
              <w:jc w:val="left"/>
            </w:pPr>
            <w:r/>
            <w:r>
              <w:rPr>
                <w:rFonts w:ascii="Times New Roman" w:hAnsi="Times New Roman"/>
                <w:b w:val="0"/>
                <w:sz w:val="24"/>
              </w:rPr>
              <w:t>15 876 397</w:t>
            </w:r>
          </w:p>
        </w:tc>
      </w:tr>
      <w:tr>
        <w:tc>
          <w:tcPr>
            <w:tcW w:type="dxa" w:w="680"/>
          </w:tcPr>
          <w:p>
            <w:pPr>
              <w:spacing w:before="0" w:after="0" w:line="240" w:lineRule="auto"/>
              <w:ind w:firstLine="0"/>
              <w:jc w:val="left"/>
            </w:pPr>
            <w:r/>
            <w:r>
              <w:rPr>
                <w:rFonts w:ascii="Times New Roman" w:hAnsi="Times New Roman"/>
                <w:b w:val="0"/>
                <w:sz w:val="24"/>
              </w:rPr>
              <w:t>6</w:t>
            </w:r>
          </w:p>
        </w:tc>
        <w:tc>
          <w:tcPr>
            <w:tcW w:type="dxa" w:w="3175"/>
          </w:tcPr>
          <w:p>
            <w:pPr>
              <w:spacing w:before="0" w:after="0" w:line="240" w:lineRule="auto"/>
              <w:ind w:firstLine="0"/>
              <w:jc w:val="left"/>
            </w:pPr>
            <w:r/>
            <w:r>
              <w:rPr>
                <w:rFonts w:ascii="Times New Roman" w:hAnsi="Times New Roman"/>
                <w:b w:val="0"/>
                <w:sz w:val="24"/>
              </w:rPr>
              <w:t>Налог на прибыль (справочно, при коммерческой эксплуатации)</w:t>
            </w:r>
          </w:p>
        </w:tc>
        <w:tc>
          <w:tcPr>
            <w:tcW w:type="dxa" w:w="2551"/>
          </w:tcPr>
          <w:p>
            <w:pPr>
              <w:spacing w:before="0" w:after="0" w:line="240" w:lineRule="auto"/>
              <w:ind w:firstLine="0"/>
              <w:jc w:val="left"/>
            </w:pPr>
            <w:r/>
            <w:r>
              <w:rPr>
                <w:rFonts w:ascii="Times New Roman" w:hAnsi="Times New Roman"/>
                <w:b w:val="0"/>
                <w:sz w:val="24"/>
              </w:rPr>
              <w:t>Tax = EBIT × 25 %</w:t>
            </w:r>
          </w:p>
        </w:tc>
        <w:tc>
          <w:tcPr>
            <w:tcW w:type="dxa" w:w="2381"/>
          </w:tcPr>
          <w:p>
            <w:pPr>
              <w:spacing w:before="0" w:after="0" w:line="240" w:lineRule="auto"/>
              <w:ind w:firstLine="0"/>
              <w:jc w:val="left"/>
            </w:pPr>
            <w:r/>
            <w:r>
              <w:rPr>
                <w:rFonts w:ascii="Times New Roman" w:hAnsi="Times New Roman"/>
                <w:b w:val="0"/>
                <w:sz w:val="24"/>
              </w:rPr>
              <w:t>3 969 099</w:t>
            </w:r>
          </w:p>
        </w:tc>
      </w:tr>
      <w:tr>
        <w:tc>
          <w:tcPr>
            <w:tcW w:type="dxa" w:w="680"/>
          </w:tcPr>
          <w:p>
            <w:pPr>
              <w:spacing w:before="0" w:after="0" w:line="240" w:lineRule="auto"/>
              <w:ind w:firstLine="0"/>
              <w:jc w:val="left"/>
            </w:pPr>
            <w:r/>
            <w:r>
              <w:rPr>
                <w:rFonts w:ascii="Times New Roman" w:hAnsi="Times New Roman"/>
                <w:b w:val="0"/>
                <w:sz w:val="24"/>
              </w:rPr>
              <w:t>7</w:t>
            </w:r>
          </w:p>
        </w:tc>
        <w:tc>
          <w:tcPr>
            <w:tcW w:type="dxa" w:w="3175"/>
          </w:tcPr>
          <w:p>
            <w:pPr>
              <w:spacing w:before="0" w:after="0" w:line="240" w:lineRule="auto"/>
              <w:ind w:firstLine="0"/>
              <w:jc w:val="left"/>
            </w:pPr>
            <w:r/>
            <w:r>
              <w:rPr>
                <w:rFonts w:ascii="Times New Roman" w:hAnsi="Times New Roman"/>
                <w:b w:val="0"/>
                <w:sz w:val="24"/>
              </w:rPr>
              <w:t>Чистый годовой эффект для заказчика (налог не применяется)</w:t>
            </w:r>
          </w:p>
        </w:tc>
        <w:tc>
          <w:tcPr>
            <w:tcW w:type="dxa" w:w="2551"/>
          </w:tcPr>
          <w:p>
            <w:pPr>
              <w:spacing w:before="0" w:after="0" w:line="240" w:lineRule="auto"/>
              <w:ind w:firstLine="0"/>
              <w:jc w:val="left"/>
            </w:pPr>
            <w:r/>
            <w:r>
              <w:rPr>
                <w:rFonts w:ascii="Times New Roman" w:hAnsi="Times New Roman"/>
                <w:b w:val="0"/>
                <w:sz w:val="24"/>
              </w:rPr>
              <w:t>Pчист = EBIT</w:t>
            </w:r>
          </w:p>
        </w:tc>
        <w:tc>
          <w:tcPr>
            <w:tcW w:type="dxa" w:w="2381"/>
          </w:tcPr>
          <w:p>
            <w:pPr>
              <w:spacing w:before="0" w:after="0" w:line="240" w:lineRule="auto"/>
              <w:ind w:firstLine="0"/>
              <w:jc w:val="left"/>
            </w:pPr>
            <w:r/>
            <w:r>
              <w:rPr>
                <w:rFonts w:ascii="Times New Roman" w:hAnsi="Times New Roman"/>
                <w:b w:val="0"/>
                <w:sz w:val="24"/>
              </w:rPr>
              <w:t>15 876 397</w:t>
            </w:r>
          </w:p>
        </w:tc>
      </w:tr>
    </w:tbl>
    <w:p>
      <w:pPr>
        <w:spacing w:before="0" w:after="0" w:line="360" w:lineRule="auto"/>
        <w:ind w:firstLine="0"/>
      </w:pPr>
    </w:p>
    <w:p>
      <w:pPr>
        <w:spacing w:before="0" w:after="0" w:line="360" w:lineRule="auto"/>
        <w:ind w:firstLine="709"/>
        <w:jc w:val="both"/>
      </w:pPr>
      <w:r>
        <w:rPr>
          <w:b w:val="0"/>
        </w:rPr>
        <w:t>Рентабельность по денежной оценке выгод: ROS = (15 876 397 / 17 678 760) × 100 % = 89,8 %. Высокое значение показателя объясняется природой продукта: после создания системы дополнительные затраты на обслуживание каждого нового пользователя и каждого нового лота близки к нулю, что соответствует теоретическому выводу подраздела 1.1 об экономии на масштабе.</w:t>
      </w:r>
    </w:p>
    <w:p>
      <w:pPr>
        <w:spacing w:before="0" w:after="0" w:line="360" w:lineRule="auto"/>
        <w:ind w:firstLine="709"/>
        <w:jc w:val="both"/>
      </w:pPr>
      <w:r>
        <w:rPr>
          <w:b w:val="0"/>
        </w:rPr>
        <w:t>Вывод по подразделу. Расчёты показывают, что создание продукта «mosres» требует единовременных вложений в размере 3 273 500 руб. и ежегодных операционных затрат в размере 1 272 000 руб. Денежная оценка годовых выгод от внедрения при консервативных допущениях составляет 17 678 760 руб., чистый годовой эффект — 15 876 397 руб. Структура выгод неоднородна: 10,9 % приходится на экономию рабочего времени, 5,1 % на отказ от сторонней аналитики и 84,0 % на прирост дохода от реализации квартир. Последний компонент опирается на допущение о приросте цены в 0,1 %, поэтому полученный результат требует обязательной проверки на устойчивость, которая выполняется в подразделе 2.3.</w:t>
      </w:r>
    </w:p>
    <w:p>
      <w:pPr>
        <w:pStyle w:val="Heading2"/>
        <w:spacing w:before="0" w:after="0" w:line="360" w:lineRule="auto"/>
        <w:ind w:firstLine="709"/>
        <w:jc w:val="left"/>
      </w:pPr>
      <w:r>
        <w:rPr>
          <w:b/>
        </w:rPr>
        <w:t>2.3 Анализ эффективности внедрения программного продукта</w:t>
      </w:r>
    </w:p>
    <w:p>
      <w:pPr>
        <w:spacing w:before="0" w:after="0" w:line="360" w:lineRule="auto"/>
        <w:ind w:firstLine="709"/>
        <w:jc w:val="both"/>
      </w:pPr>
      <w:r>
        <w:rPr>
          <w:b w:val="0"/>
        </w:rPr>
        <w:t>Заключительный этап оценки состоит в расчёте интегральных показателей эффективности проекта: точки безубыточности, простого срока окупаемости и рентабельности инвестиций, а также в проверке устойчивости полученных результатов.</w:t>
      </w:r>
    </w:p>
    <w:p>
      <w:pPr>
        <w:spacing w:before="0" w:after="0" w:line="360" w:lineRule="auto"/>
        <w:ind w:firstLine="709"/>
        <w:jc w:val="both"/>
      </w:pPr>
      <w:r>
        <w:rPr>
          <w:b w:val="0"/>
        </w:rPr>
        <w:t>1. Расчёт точки безубыточности</w:t>
      </w:r>
    </w:p>
    <w:p>
      <w:pPr>
        <w:spacing w:before="0" w:after="0" w:line="360" w:lineRule="auto"/>
        <w:ind w:firstLine="709"/>
        <w:jc w:val="both"/>
      </w:pPr>
      <w:r>
        <w:rPr>
          <w:b w:val="0"/>
        </w:rPr>
        <w:t>Точка безубыточности определяет минимальный объём результата, при котором проект покрывает постоянные затраты, но ещё не даёт эффекта. Для ведомственного продукта постоянными затратами выступают годовые операционные расходы, а единицей продукции — одна реализованная с использованием системы квартира; удельная выгода на единицу рассчитывается как отношение годовых выгод к количеству реализуемых квартир. Расчёт ведётся в натуральном и денежном выражении:</w:t>
      </w:r>
    </w:p>
    <w:p>
      <w:pPr>
        <w:tabs>
          <w:tab w:pos="4677" w:val="center"/>
          <w:tab w:pos="9354" w:val="right"/>
        </w:tabs>
        <w:spacing w:before="0" w:after="0" w:line="360" w:lineRule="auto"/>
        <w:ind w:firstLine="0"/>
        <w:jc w:val="left"/>
      </w:pPr>
      <w:r>
        <w:tab/>
        <w:t>QТБУ = Cпост / (Pед − Cпер.ед)</w:t>
        <w:tab/>
        <w:t>(7)</w:t>
      </w:r>
    </w:p>
    <w:p>
      <w:pPr>
        <w:tabs>
          <w:tab w:pos="4677" w:val="center"/>
          <w:tab w:pos="9354" w:val="right"/>
        </w:tabs>
        <w:spacing w:before="0" w:after="0" w:line="360" w:lineRule="auto"/>
        <w:ind w:firstLine="0"/>
        <w:jc w:val="left"/>
      </w:pPr>
      <w:r>
        <w:tab/>
        <w:t>VТБУ = QТБУ × Pед</w:t>
        <w:tab/>
        <w:t>(8)</w:t>
      </w:r>
    </w:p>
    <w:p>
      <w:pPr>
        <w:spacing w:before="0" w:after="0" w:line="360" w:lineRule="auto"/>
        <w:ind w:firstLine="0"/>
        <w:jc w:val="both"/>
      </w:pPr>
      <w:r>
        <w:rPr>
          <w:b w:val="0"/>
        </w:rPr>
        <w:t>где QТБУ – точка безубыточности в натуральном выражении, ед./год;</w:t>
      </w:r>
    </w:p>
    <w:p>
      <w:pPr>
        <w:spacing w:before="0" w:after="0" w:line="360" w:lineRule="auto"/>
        <w:ind w:firstLine="0"/>
        <w:jc w:val="both"/>
      </w:pPr>
      <w:r>
        <w:rPr>
          <w:b w:val="0"/>
        </w:rPr>
        <w:t>VТБУ – точка безубыточности в денежном выражении, руб./год;</w:t>
      </w:r>
    </w:p>
    <w:p>
      <w:pPr>
        <w:spacing w:before="0" w:after="0" w:line="360" w:lineRule="auto"/>
        <w:ind w:firstLine="0"/>
        <w:jc w:val="both"/>
      </w:pPr>
      <w:r>
        <w:rPr>
          <w:b w:val="0"/>
        </w:rPr>
        <w:t>Cпост – совокупные постоянные затраты за период (OPEX), руб.;</w:t>
      </w:r>
    </w:p>
    <w:p>
      <w:pPr>
        <w:spacing w:before="0" w:after="0" w:line="360" w:lineRule="auto"/>
        <w:ind w:firstLine="0"/>
        <w:jc w:val="both"/>
      </w:pPr>
      <w:r>
        <w:rPr>
          <w:b w:val="0"/>
        </w:rPr>
        <w:t>Pед – удельная выгода на одну реализованную квартиру, руб.;</w:t>
      </w:r>
    </w:p>
    <w:p>
      <w:pPr>
        <w:spacing w:before="0" w:after="0" w:line="360" w:lineRule="auto"/>
        <w:ind w:firstLine="0"/>
        <w:jc w:val="both"/>
      </w:pPr>
      <w:r>
        <w:rPr>
          <w:b w:val="0"/>
        </w:rPr>
        <w:t>Cпер.ед – переменные затраты на единицу, руб.</w:t>
      </w:r>
    </w:p>
    <w:p>
      <w:pPr>
        <w:spacing w:before="120" w:after="0" w:line="240" w:lineRule="auto"/>
        <w:ind w:firstLine="0"/>
        <w:jc w:val="left"/>
      </w:pPr>
      <w:r>
        <w:rPr>
          <w:b w:val="0"/>
        </w:rPr>
        <w:t>Таблица 2.9 – Исходные данные для расчёта точки безубыточности</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680"/>
          </w:tcPr>
          <w:p>
            <w:pPr>
              <w:spacing w:before="0" w:after="0" w:line="240" w:lineRule="auto"/>
              <w:ind w:firstLine="0"/>
              <w:jc w:val="center"/>
            </w:pPr>
            <w:r/>
            <w:r>
              <w:rPr>
                <w:rFonts w:ascii="Times New Roman" w:hAnsi="Times New Roman"/>
                <w:b/>
                <w:sz w:val="24"/>
              </w:rPr>
              <w:t>№ п/п</w:t>
            </w:r>
          </w:p>
        </w:tc>
        <w:tc>
          <w:tcPr>
            <w:tcW w:type="dxa" w:w="2948"/>
          </w:tcPr>
          <w:p>
            <w:pPr>
              <w:spacing w:before="0" w:after="0" w:line="240" w:lineRule="auto"/>
              <w:ind w:firstLine="0"/>
              <w:jc w:val="center"/>
            </w:pPr>
            <w:r/>
            <w:r>
              <w:rPr>
                <w:rFonts w:ascii="Times New Roman" w:hAnsi="Times New Roman"/>
                <w:b/>
                <w:sz w:val="24"/>
              </w:rPr>
              <w:t>Параметр</w:t>
            </w:r>
          </w:p>
        </w:tc>
        <w:tc>
          <w:tcPr>
            <w:tcW w:type="dxa" w:w="1247"/>
          </w:tcPr>
          <w:p>
            <w:pPr>
              <w:spacing w:before="0" w:after="0" w:line="240" w:lineRule="auto"/>
              <w:ind w:firstLine="0"/>
              <w:jc w:val="center"/>
            </w:pPr>
            <w:r/>
            <w:r>
              <w:rPr>
                <w:rFonts w:ascii="Times New Roman" w:hAnsi="Times New Roman"/>
                <w:b/>
                <w:sz w:val="24"/>
              </w:rPr>
              <w:t>Обозначение</w:t>
            </w:r>
          </w:p>
        </w:tc>
        <w:tc>
          <w:tcPr>
            <w:tcW w:type="dxa" w:w="1474"/>
          </w:tcPr>
          <w:p>
            <w:pPr>
              <w:spacing w:before="0" w:after="0" w:line="240" w:lineRule="auto"/>
              <w:ind w:firstLine="0"/>
              <w:jc w:val="center"/>
            </w:pPr>
            <w:r/>
            <w:r>
              <w:rPr>
                <w:rFonts w:ascii="Times New Roman" w:hAnsi="Times New Roman"/>
                <w:b/>
                <w:sz w:val="24"/>
              </w:rPr>
              <w:t>Значение</w:t>
            </w:r>
          </w:p>
        </w:tc>
        <w:tc>
          <w:tcPr>
            <w:tcW w:type="dxa" w:w="2438"/>
          </w:tcPr>
          <w:p>
            <w:pPr>
              <w:spacing w:before="0" w:after="0" w:line="240" w:lineRule="auto"/>
              <w:ind w:firstLine="0"/>
              <w:jc w:val="center"/>
            </w:pPr>
            <w:r/>
            <w:r>
              <w:rPr>
                <w:rFonts w:ascii="Times New Roman" w:hAnsi="Times New Roman"/>
                <w:b/>
                <w:sz w:val="24"/>
              </w:rPr>
              <w:t>Примечание</w:t>
            </w:r>
          </w:p>
        </w:tc>
      </w:tr>
      <w:tr>
        <w:tc>
          <w:tcPr>
            <w:tcW w:type="dxa" w:w="680"/>
          </w:tcPr>
          <w:p>
            <w:pPr>
              <w:spacing w:before="0" w:after="0" w:line="240" w:lineRule="auto"/>
              <w:ind w:firstLine="0"/>
              <w:jc w:val="left"/>
            </w:pPr>
            <w:r/>
            <w:r>
              <w:rPr>
                <w:rFonts w:ascii="Times New Roman" w:hAnsi="Times New Roman"/>
                <w:b w:val="0"/>
                <w:sz w:val="24"/>
              </w:rPr>
              <w:t>1</w:t>
            </w:r>
          </w:p>
        </w:tc>
        <w:tc>
          <w:tcPr>
            <w:tcW w:type="dxa" w:w="2948"/>
          </w:tcPr>
          <w:p>
            <w:pPr>
              <w:spacing w:before="0" w:after="0" w:line="240" w:lineRule="auto"/>
              <w:ind w:firstLine="0"/>
              <w:jc w:val="left"/>
            </w:pPr>
            <w:r/>
            <w:r>
              <w:rPr>
                <w:rFonts w:ascii="Times New Roman" w:hAnsi="Times New Roman"/>
                <w:b w:val="0"/>
                <w:sz w:val="24"/>
              </w:rPr>
              <w:t>Постоянные затраты (OPEX)</w:t>
            </w:r>
          </w:p>
        </w:tc>
        <w:tc>
          <w:tcPr>
            <w:tcW w:type="dxa" w:w="1247"/>
          </w:tcPr>
          <w:p>
            <w:pPr>
              <w:spacing w:before="0" w:after="0" w:line="240" w:lineRule="auto"/>
              <w:ind w:firstLine="0"/>
              <w:jc w:val="left"/>
            </w:pPr>
            <w:r/>
            <w:r>
              <w:rPr>
                <w:rFonts w:ascii="Times New Roman" w:hAnsi="Times New Roman"/>
                <w:b w:val="0"/>
                <w:sz w:val="24"/>
              </w:rPr>
              <w:t>Cпост</w:t>
            </w:r>
          </w:p>
        </w:tc>
        <w:tc>
          <w:tcPr>
            <w:tcW w:type="dxa" w:w="1474"/>
          </w:tcPr>
          <w:p>
            <w:pPr>
              <w:spacing w:before="0" w:after="0" w:line="240" w:lineRule="auto"/>
              <w:ind w:firstLine="0"/>
              <w:jc w:val="left"/>
            </w:pPr>
            <w:r/>
            <w:r>
              <w:rPr>
                <w:rFonts w:ascii="Times New Roman" w:hAnsi="Times New Roman"/>
                <w:b w:val="0"/>
                <w:sz w:val="24"/>
              </w:rPr>
              <w:t>1 272 000 руб.</w:t>
            </w:r>
          </w:p>
        </w:tc>
        <w:tc>
          <w:tcPr>
            <w:tcW w:type="dxa" w:w="2438"/>
          </w:tcPr>
          <w:p>
            <w:pPr>
              <w:spacing w:before="0" w:after="0" w:line="240" w:lineRule="auto"/>
              <w:ind w:firstLine="0"/>
              <w:jc w:val="left"/>
            </w:pPr>
            <w:r/>
            <w:r>
              <w:rPr>
                <w:rFonts w:ascii="Times New Roman" w:hAnsi="Times New Roman"/>
                <w:b w:val="0"/>
                <w:sz w:val="24"/>
              </w:rPr>
              <w:t>Из таблицы 2.5</w:t>
            </w:r>
          </w:p>
        </w:tc>
      </w:tr>
      <w:tr>
        <w:tc>
          <w:tcPr>
            <w:tcW w:type="dxa" w:w="680"/>
          </w:tcPr>
          <w:p>
            <w:pPr>
              <w:spacing w:before="0" w:after="0" w:line="240" w:lineRule="auto"/>
              <w:ind w:firstLine="0"/>
              <w:jc w:val="left"/>
            </w:pPr>
            <w:r/>
            <w:r>
              <w:rPr>
                <w:rFonts w:ascii="Times New Roman" w:hAnsi="Times New Roman"/>
                <w:b w:val="0"/>
                <w:sz w:val="24"/>
              </w:rPr>
              <w:t>2</w:t>
            </w:r>
          </w:p>
        </w:tc>
        <w:tc>
          <w:tcPr>
            <w:tcW w:type="dxa" w:w="2948"/>
          </w:tcPr>
          <w:p>
            <w:pPr>
              <w:spacing w:before="0" w:after="0" w:line="240" w:lineRule="auto"/>
              <w:ind w:firstLine="0"/>
              <w:jc w:val="left"/>
            </w:pPr>
            <w:r/>
            <w:r>
              <w:rPr>
                <w:rFonts w:ascii="Times New Roman" w:hAnsi="Times New Roman"/>
                <w:b w:val="0"/>
                <w:sz w:val="24"/>
              </w:rPr>
              <w:t>Удельная выгода на одну реализованную квартиру</w:t>
            </w:r>
          </w:p>
        </w:tc>
        <w:tc>
          <w:tcPr>
            <w:tcW w:type="dxa" w:w="1247"/>
          </w:tcPr>
          <w:p>
            <w:pPr>
              <w:spacing w:before="0" w:after="0" w:line="240" w:lineRule="auto"/>
              <w:ind w:firstLine="0"/>
              <w:jc w:val="left"/>
            </w:pPr>
            <w:r/>
            <w:r>
              <w:rPr>
                <w:rFonts w:ascii="Times New Roman" w:hAnsi="Times New Roman"/>
                <w:b w:val="0"/>
                <w:sz w:val="24"/>
              </w:rPr>
              <w:t>Pед</w:t>
            </w:r>
          </w:p>
        </w:tc>
        <w:tc>
          <w:tcPr>
            <w:tcW w:type="dxa" w:w="1474"/>
          </w:tcPr>
          <w:p>
            <w:pPr>
              <w:spacing w:before="0" w:after="0" w:line="240" w:lineRule="auto"/>
              <w:ind w:firstLine="0"/>
              <w:jc w:val="left"/>
            </w:pPr>
            <w:r/>
            <w:r>
              <w:rPr>
                <w:rFonts w:ascii="Times New Roman" w:hAnsi="Times New Roman"/>
                <w:b w:val="0"/>
                <w:sz w:val="24"/>
              </w:rPr>
              <w:t>25 772 руб.</w:t>
            </w:r>
          </w:p>
        </w:tc>
        <w:tc>
          <w:tcPr>
            <w:tcW w:type="dxa" w:w="2438"/>
          </w:tcPr>
          <w:p>
            <w:pPr>
              <w:spacing w:before="0" w:after="0" w:line="240" w:lineRule="auto"/>
              <w:ind w:firstLine="0"/>
              <w:jc w:val="left"/>
            </w:pPr>
            <w:r/>
            <w:r>
              <w:rPr>
                <w:rFonts w:ascii="Times New Roman" w:hAnsi="Times New Roman"/>
                <w:b w:val="0"/>
                <w:sz w:val="24"/>
              </w:rPr>
              <w:t>17 678 760 / 686 (таблицы 2.6, 2.7)</w:t>
            </w:r>
          </w:p>
        </w:tc>
      </w:tr>
      <w:tr>
        <w:tc>
          <w:tcPr>
            <w:tcW w:type="dxa" w:w="680"/>
          </w:tcPr>
          <w:p>
            <w:pPr>
              <w:spacing w:before="0" w:after="0" w:line="240" w:lineRule="auto"/>
              <w:ind w:firstLine="0"/>
              <w:jc w:val="left"/>
            </w:pPr>
            <w:r/>
            <w:r>
              <w:rPr>
                <w:rFonts w:ascii="Times New Roman" w:hAnsi="Times New Roman"/>
                <w:b w:val="0"/>
                <w:sz w:val="24"/>
              </w:rPr>
              <w:t>3</w:t>
            </w:r>
          </w:p>
        </w:tc>
        <w:tc>
          <w:tcPr>
            <w:tcW w:type="dxa" w:w="2948"/>
          </w:tcPr>
          <w:p>
            <w:pPr>
              <w:spacing w:before="0" w:after="0" w:line="240" w:lineRule="auto"/>
              <w:ind w:firstLine="0"/>
              <w:jc w:val="left"/>
            </w:pPr>
            <w:r/>
            <w:r>
              <w:rPr>
                <w:rFonts w:ascii="Times New Roman" w:hAnsi="Times New Roman"/>
                <w:b w:val="0"/>
                <w:sz w:val="24"/>
              </w:rPr>
              <w:t>Переменные затраты на единицу</w:t>
            </w:r>
          </w:p>
        </w:tc>
        <w:tc>
          <w:tcPr>
            <w:tcW w:type="dxa" w:w="1247"/>
          </w:tcPr>
          <w:p>
            <w:pPr>
              <w:spacing w:before="0" w:after="0" w:line="240" w:lineRule="auto"/>
              <w:ind w:firstLine="0"/>
              <w:jc w:val="left"/>
            </w:pPr>
            <w:r/>
            <w:r>
              <w:rPr>
                <w:rFonts w:ascii="Times New Roman" w:hAnsi="Times New Roman"/>
                <w:b w:val="0"/>
                <w:sz w:val="24"/>
              </w:rPr>
              <w:t>Cпер.ед</w:t>
            </w:r>
          </w:p>
        </w:tc>
        <w:tc>
          <w:tcPr>
            <w:tcW w:type="dxa" w:w="1474"/>
          </w:tcPr>
          <w:p>
            <w:pPr>
              <w:spacing w:before="0" w:after="0" w:line="240" w:lineRule="auto"/>
              <w:ind w:firstLine="0"/>
              <w:jc w:val="left"/>
            </w:pPr>
            <w:r/>
            <w:r>
              <w:rPr>
                <w:rFonts w:ascii="Times New Roman" w:hAnsi="Times New Roman"/>
                <w:b w:val="0"/>
                <w:sz w:val="24"/>
              </w:rPr>
              <w:t>773 руб.</w:t>
            </w:r>
          </w:p>
        </w:tc>
        <w:tc>
          <w:tcPr>
            <w:tcW w:type="dxa" w:w="2438"/>
          </w:tcPr>
          <w:p>
            <w:pPr>
              <w:spacing w:before="0" w:after="0" w:line="240" w:lineRule="auto"/>
              <w:ind w:firstLine="0"/>
              <w:jc w:val="left"/>
            </w:pPr>
            <w:r/>
            <w:r>
              <w:rPr>
                <w:rFonts w:ascii="Times New Roman" w:hAnsi="Times New Roman"/>
                <w:b w:val="0"/>
                <w:sz w:val="24"/>
              </w:rPr>
              <w:t>3 % от удельной выгоды</w:t>
            </w:r>
          </w:p>
        </w:tc>
      </w:tr>
    </w:tbl>
    <w:p>
      <w:pPr>
        <w:spacing w:before="0" w:after="0" w:line="360" w:lineRule="auto"/>
        <w:ind w:firstLine="0"/>
      </w:pPr>
    </w:p>
    <w:p>
      <w:pPr>
        <w:spacing w:before="0" w:after="0" w:line="360" w:lineRule="auto"/>
        <w:ind w:firstLine="709"/>
        <w:jc w:val="both"/>
      </w:pPr>
      <w:r>
        <w:rPr>
          <w:b w:val="0"/>
        </w:rPr>
        <w:t>Расчёт точки безубыточности в натуральном выражении:</w:t>
      </w:r>
    </w:p>
    <w:p>
      <w:pPr>
        <w:spacing w:before="0" w:after="0" w:line="360" w:lineRule="auto"/>
        <w:ind w:firstLine="0"/>
        <w:jc w:val="both"/>
      </w:pPr>
      <w:r>
        <w:rPr>
          <w:b w:val="0"/>
        </w:rPr>
        <w:t>QТБУ = 1 272 000 / (25 772 − 773) = 1 272 000 / 24 999 ≈ 51 квартира.</w:t>
      </w:r>
    </w:p>
    <w:p>
      <w:pPr>
        <w:spacing w:before="0" w:after="0" w:line="360" w:lineRule="auto"/>
        <w:ind w:firstLine="709"/>
        <w:jc w:val="both"/>
      </w:pPr>
      <w:r>
        <w:rPr>
          <w:b w:val="0"/>
        </w:rPr>
        <w:t>Расчёт точки безубыточности в денежном выражении:</w:t>
      </w:r>
    </w:p>
    <w:p>
      <w:pPr>
        <w:spacing w:before="0" w:after="0" w:line="360" w:lineRule="auto"/>
        <w:ind w:firstLine="0"/>
        <w:jc w:val="both"/>
      </w:pPr>
      <w:r>
        <w:rPr>
          <w:b w:val="0"/>
        </w:rPr>
        <w:t>VТБУ = 51 × 25 772 = 1 314 372 руб.</w:t>
      </w:r>
    </w:p>
    <w:p>
      <w:pPr>
        <w:spacing w:before="0" w:after="0" w:line="360" w:lineRule="auto"/>
        <w:ind w:firstLine="709"/>
        <w:jc w:val="both"/>
      </w:pPr>
      <w:r>
        <w:rPr>
          <w:b w:val="0"/>
        </w:rPr>
        <w:t>Таким образом, для покрытия годовых операционных затрат достаточно, чтобы система обеспечивала эффект при реализации 51 квартиры из 686 планируемых, то есть 7,4 % годового объёма. Запас финансовой прочности составляет 92,6 %, что указывает на низкую чувствительность проекта к сокращению объёмов реализации.</w:t>
      </w:r>
    </w:p>
    <w:p>
      <w:pPr>
        <w:spacing w:before="0" w:after="0" w:line="360" w:lineRule="auto"/>
        <w:ind w:firstLine="709"/>
        <w:jc w:val="both"/>
      </w:pPr>
      <w:r>
        <w:rPr>
          <w:b w:val="0"/>
        </w:rPr>
        <w:t>2. Расчёт срока окупаемости (PP)</w:t>
      </w:r>
    </w:p>
    <w:p>
      <w:pPr>
        <w:spacing w:before="0" w:after="0" w:line="360" w:lineRule="auto"/>
        <w:ind w:firstLine="709"/>
        <w:jc w:val="both"/>
      </w:pPr>
      <w:r>
        <w:rPr>
          <w:b w:val="0"/>
        </w:rPr>
        <w:t>Простой срок окупаемости показывает период, за который чистый годовой эффект покрывает первоначальные инвестиции:</w:t>
      </w:r>
    </w:p>
    <w:p>
      <w:pPr>
        <w:tabs>
          <w:tab w:pos="4677" w:val="center"/>
          <w:tab w:pos="9354" w:val="right"/>
        </w:tabs>
        <w:spacing w:before="0" w:after="0" w:line="360" w:lineRule="auto"/>
        <w:ind w:firstLine="0"/>
        <w:jc w:val="left"/>
      </w:pPr>
      <w:r>
        <w:tab/>
        <w:t>PP = CAPEX / Pчист.год</w:t>
        <w:tab/>
        <w:t>(9)</w:t>
      </w:r>
    </w:p>
    <w:p>
      <w:pPr>
        <w:spacing w:before="0" w:after="0" w:line="360" w:lineRule="auto"/>
        <w:ind w:firstLine="0"/>
        <w:jc w:val="both"/>
      </w:pPr>
      <w:r>
        <w:rPr>
          <w:b w:val="0"/>
        </w:rPr>
        <w:t>где CAPEX – капитальные затраты, руб.;</w:t>
      </w:r>
    </w:p>
    <w:p>
      <w:pPr>
        <w:spacing w:before="0" w:after="0" w:line="360" w:lineRule="auto"/>
        <w:ind w:firstLine="0"/>
        <w:jc w:val="both"/>
      </w:pPr>
      <w:r>
        <w:rPr>
          <w:b w:val="0"/>
        </w:rPr>
        <w:t>Pчист.год – чистый годовой эффект, руб.</w:t>
      </w:r>
    </w:p>
    <w:p>
      <w:pPr>
        <w:spacing w:before="120" w:after="0" w:line="240" w:lineRule="auto"/>
        <w:ind w:firstLine="0"/>
        <w:jc w:val="left"/>
      </w:pPr>
      <w:r>
        <w:rPr>
          <w:b w:val="0"/>
        </w:rPr>
        <w:t>Таблица 2.10 – Данные для расчёта срока окупаемости</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680"/>
          </w:tcPr>
          <w:p>
            <w:pPr>
              <w:spacing w:before="0" w:after="0" w:line="240" w:lineRule="auto"/>
              <w:ind w:firstLine="0"/>
              <w:jc w:val="center"/>
            </w:pPr>
            <w:r/>
            <w:r>
              <w:rPr>
                <w:rFonts w:ascii="Times New Roman" w:hAnsi="Times New Roman"/>
                <w:b/>
                <w:sz w:val="24"/>
              </w:rPr>
              <w:t>№ п/п</w:t>
            </w:r>
          </w:p>
        </w:tc>
        <w:tc>
          <w:tcPr>
            <w:tcW w:type="dxa" w:w="2608"/>
          </w:tcPr>
          <w:p>
            <w:pPr>
              <w:spacing w:before="0" w:after="0" w:line="240" w:lineRule="auto"/>
              <w:ind w:firstLine="0"/>
              <w:jc w:val="center"/>
            </w:pPr>
            <w:r/>
            <w:r>
              <w:rPr>
                <w:rFonts w:ascii="Times New Roman" w:hAnsi="Times New Roman"/>
                <w:b/>
                <w:sz w:val="24"/>
              </w:rPr>
              <w:t>Параметр</w:t>
            </w:r>
          </w:p>
        </w:tc>
        <w:tc>
          <w:tcPr>
            <w:tcW w:type="dxa" w:w="1361"/>
          </w:tcPr>
          <w:p>
            <w:pPr>
              <w:spacing w:before="0" w:after="0" w:line="240" w:lineRule="auto"/>
              <w:ind w:firstLine="0"/>
              <w:jc w:val="center"/>
            </w:pPr>
            <w:r/>
            <w:r>
              <w:rPr>
                <w:rFonts w:ascii="Times New Roman" w:hAnsi="Times New Roman"/>
                <w:b/>
                <w:sz w:val="24"/>
              </w:rPr>
              <w:t>Обозначение</w:t>
            </w:r>
          </w:p>
        </w:tc>
        <w:tc>
          <w:tcPr>
            <w:tcW w:type="dxa" w:w="1928"/>
          </w:tcPr>
          <w:p>
            <w:pPr>
              <w:spacing w:before="0" w:after="0" w:line="240" w:lineRule="auto"/>
              <w:ind w:firstLine="0"/>
              <w:jc w:val="center"/>
            </w:pPr>
            <w:r/>
            <w:r>
              <w:rPr>
                <w:rFonts w:ascii="Times New Roman" w:hAnsi="Times New Roman"/>
                <w:b/>
                <w:sz w:val="24"/>
              </w:rPr>
              <w:t>Значение</w:t>
            </w:r>
          </w:p>
        </w:tc>
        <w:tc>
          <w:tcPr>
            <w:tcW w:type="dxa" w:w="2211"/>
          </w:tcPr>
          <w:p>
            <w:pPr>
              <w:spacing w:before="0" w:after="0" w:line="240" w:lineRule="auto"/>
              <w:ind w:firstLine="0"/>
              <w:jc w:val="center"/>
            </w:pPr>
            <w:r/>
            <w:r>
              <w:rPr>
                <w:rFonts w:ascii="Times New Roman" w:hAnsi="Times New Roman"/>
                <w:b/>
                <w:sz w:val="24"/>
              </w:rPr>
              <w:t>Источник</w:t>
            </w:r>
          </w:p>
        </w:tc>
      </w:tr>
      <w:tr>
        <w:tc>
          <w:tcPr>
            <w:tcW w:type="dxa" w:w="680"/>
          </w:tcPr>
          <w:p>
            <w:pPr>
              <w:spacing w:before="0" w:after="0" w:line="240" w:lineRule="auto"/>
              <w:ind w:firstLine="0"/>
              <w:jc w:val="left"/>
            </w:pPr>
            <w:r/>
            <w:r>
              <w:rPr>
                <w:rFonts w:ascii="Times New Roman" w:hAnsi="Times New Roman"/>
                <w:b w:val="0"/>
                <w:sz w:val="24"/>
              </w:rPr>
              <w:t>1</w:t>
            </w:r>
          </w:p>
        </w:tc>
        <w:tc>
          <w:tcPr>
            <w:tcW w:type="dxa" w:w="2608"/>
          </w:tcPr>
          <w:p>
            <w:pPr>
              <w:spacing w:before="0" w:after="0" w:line="240" w:lineRule="auto"/>
              <w:ind w:firstLine="0"/>
              <w:jc w:val="left"/>
            </w:pPr>
            <w:r/>
            <w:r>
              <w:rPr>
                <w:rFonts w:ascii="Times New Roman" w:hAnsi="Times New Roman"/>
                <w:b w:val="0"/>
                <w:sz w:val="24"/>
              </w:rPr>
              <w:t>Капитальные затраты</w:t>
            </w:r>
          </w:p>
        </w:tc>
        <w:tc>
          <w:tcPr>
            <w:tcW w:type="dxa" w:w="1361"/>
          </w:tcPr>
          <w:p>
            <w:pPr>
              <w:spacing w:before="0" w:after="0" w:line="240" w:lineRule="auto"/>
              <w:ind w:firstLine="0"/>
              <w:jc w:val="left"/>
            </w:pPr>
            <w:r/>
            <w:r>
              <w:rPr>
                <w:rFonts w:ascii="Times New Roman" w:hAnsi="Times New Roman"/>
                <w:b w:val="0"/>
                <w:sz w:val="24"/>
              </w:rPr>
              <w:t>CAPEX</w:t>
            </w:r>
          </w:p>
        </w:tc>
        <w:tc>
          <w:tcPr>
            <w:tcW w:type="dxa" w:w="1928"/>
          </w:tcPr>
          <w:p>
            <w:pPr>
              <w:spacing w:before="0" w:after="0" w:line="240" w:lineRule="auto"/>
              <w:ind w:firstLine="0"/>
              <w:jc w:val="left"/>
            </w:pPr>
            <w:r/>
            <w:r>
              <w:rPr>
                <w:rFonts w:ascii="Times New Roman" w:hAnsi="Times New Roman"/>
                <w:b w:val="0"/>
                <w:sz w:val="24"/>
              </w:rPr>
              <w:t>3 273 500 руб.</w:t>
            </w:r>
          </w:p>
        </w:tc>
        <w:tc>
          <w:tcPr>
            <w:tcW w:type="dxa" w:w="2211"/>
          </w:tcPr>
          <w:p>
            <w:pPr>
              <w:spacing w:before="0" w:after="0" w:line="240" w:lineRule="auto"/>
              <w:ind w:firstLine="0"/>
              <w:jc w:val="left"/>
            </w:pPr>
            <w:r/>
            <w:r>
              <w:rPr>
                <w:rFonts w:ascii="Times New Roman" w:hAnsi="Times New Roman"/>
                <w:b w:val="0"/>
                <w:sz w:val="24"/>
              </w:rPr>
              <w:t>Из таблицы 2.4</w:t>
            </w:r>
          </w:p>
        </w:tc>
      </w:tr>
      <w:tr>
        <w:tc>
          <w:tcPr>
            <w:tcW w:type="dxa" w:w="680"/>
          </w:tcPr>
          <w:p>
            <w:pPr>
              <w:spacing w:before="0" w:after="0" w:line="240" w:lineRule="auto"/>
              <w:ind w:firstLine="0"/>
              <w:jc w:val="left"/>
            </w:pPr>
            <w:r/>
            <w:r>
              <w:rPr>
                <w:rFonts w:ascii="Times New Roman" w:hAnsi="Times New Roman"/>
                <w:b w:val="0"/>
                <w:sz w:val="24"/>
              </w:rPr>
              <w:t>2</w:t>
            </w:r>
          </w:p>
        </w:tc>
        <w:tc>
          <w:tcPr>
            <w:tcW w:type="dxa" w:w="2608"/>
          </w:tcPr>
          <w:p>
            <w:pPr>
              <w:spacing w:before="0" w:after="0" w:line="240" w:lineRule="auto"/>
              <w:ind w:firstLine="0"/>
              <w:jc w:val="left"/>
            </w:pPr>
            <w:r/>
            <w:r>
              <w:rPr>
                <w:rFonts w:ascii="Times New Roman" w:hAnsi="Times New Roman"/>
                <w:b w:val="0"/>
                <w:sz w:val="24"/>
              </w:rPr>
              <w:t>Чистый годовой эффект</w:t>
            </w:r>
          </w:p>
        </w:tc>
        <w:tc>
          <w:tcPr>
            <w:tcW w:type="dxa" w:w="1361"/>
          </w:tcPr>
          <w:p>
            <w:pPr>
              <w:spacing w:before="0" w:after="0" w:line="240" w:lineRule="auto"/>
              <w:ind w:firstLine="0"/>
              <w:jc w:val="left"/>
            </w:pPr>
            <w:r/>
            <w:r>
              <w:rPr>
                <w:rFonts w:ascii="Times New Roman" w:hAnsi="Times New Roman"/>
                <w:b w:val="0"/>
                <w:sz w:val="24"/>
              </w:rPr>
              <w:t>Pчист.год</w:t>
            </w:r>
          </w:p>
        </w:tc>
        <w:tc>
          <w:tcPr>
            <w:tcW w:type="dxa" w:w="1928"/>
          </w:tcPr>
          <w:p>
            <w:pPr>
              <w:spacing w:before="0" w:after="0" w:line="240" w:lineRule="auto"/>
              <w:ind w:firstLine="0"/>
              <w:jc w:val="left"/>
            </w:pPr>
            <w:r/>
            <w:r>
              <w:rPr>
                <w:rFonts w:ascii="Times New Roman" w:hAnsi="Times New Roman"/>
                <w:b w:val="0"/>
                <w:sz w:val="24"/>
              </w:rPr>
              <w:t>15 876 397 руб.</w:t>
            </w:r>
          </w:p>
        </w:tc>
        <w:tc>
          <w:tcPr>
            <w:tcW w:type="dxa" w:w="2211"/>
          </w:tcPr>
          <w:p>
            <w:pPr>
              <w:spacing w:before="0" w:after="0" w:line="240" w:lineRule="auto"/>
              <w:ind w:firstLine="0"/>
              <w:jc w:val="left"/>
            </w:pPr>
            <w:r/>
            <w:r>
              <w:rPr>
                <w:rFonts w:ascii="Times New Roman" w:hAnsi="Times New Roman"/>
                <w:b w:val="0"/>
                <w:sz w:val="24"/>
              </w:rPr>
              <w:t>Из таблицы 2.8</w:t>
            </w:r>
          </w:p>
        </w:tc>
      </w:tr>
    </w:tbl>
    <w:p>
      <w:pPr>
        <w:spacing w:before="0" w:after="0" w:line="360" w:lineRule="auto"/>
        <w:ind w:firstLine="0"/>
      </w:pPr>
    </w:p>
    <w:p>
      <w:pPr>
        <w:spacing w:before="0" w:after="0" w:line="360" w:lineRule="auto"/>
        <w:ind w:firstLine="709"/>
        <w:jc w:val="both"/>
      </w:pPr>
      <w:r>
        <w:rPr>
          <w:b w:val="0"/>
        </w:rPr>
        <w:t>Расчёт простого срока окупаемости:</w:t>
      </w:r>
    </w:p>
    <w:p>
      <w:pPr>
        <w:spacing w:before="0" w:after="0" w:line="360" w:lineRule="auto"/>
        <w:ind w:firstLine="0"/>
        <w:jc w:val="both"/>
      </w:pPr>
      <w:r>
        <w:rPr>
          <w:b w:val="0"/>
        </w:rPr>
        <w:t>PP = 3 273 500 / 15 876 397 ≈ 0,21 года, или 0,21 × 12 ≈ 2,5 месяца.</w:t>
      </w:r>
    </w:p>
    <w:p>
      <w:pPr>
        <w:spacing w:before="0" w:after="0" w:line="360" w:lineRule="auto"/>
        <w:ind w:firstLine="709"/>
        <w:jc w:val="both"/>
      </w:pPr>
      <w:r>
        <w:rPr>
          <w:b w:val="0"/>
        </w:rPr>
        <w:t>Формальный результат следует трактовать с поправкой на организационную сторону внедрения. Эффект не возникает одновременно с завершением разработки: требуется обучение пользователей, накопление истории изменений (аналитика по динамике становится содержательной не ранее чем через два-три месяца наблюдений) и включение отчётов системы в регламент принятия решений о ценах. С учётом этого реальный срок окупаемости следует оценивать в 6–9 месяцев, что для проекта с бюджетом 3,27 млн руб. остаётся хорошим показателем.</w:t>
      </w:r>
    </w:p>
    <w:p>
      <w:pPr>
        <w:spacing w:before="0" w:after="0" w:line="360" w:lineRule="auto"/>
        <w:ind w:firstLine="709"/>
        <w:jc w:val="both"/>
      </w:pPr>
      <w:r>
        <w:rPr>
          <w:b w:val="0"/>
        </w:rPr>
        <w:t>3. Расчёт показателя возврата на инвестиции (ROI)</w:t>
      </w:r>
    </w:p>
    <w:p>
      <w:pPr>
        <w:spacing w:before="0" w:after="0" w:line="360" w:lineRule="auto"/>
        <w:ind w:firstLine="709"/>
        <w:jc w:val="both"/>
      </w:pPr>
      <w:r>
        <w:rPr>
          <w:b w:val="0"/>
        </w:rPr>
        <w:t>Рентабельность инвестиций рассчитывается по формуле:</w:t>
      </w:r>
    </w:p>
    <w:p>
      <w:pPr>
        <w:tabs>
          <w:tab w:pos="4677" w:val="center"/>
          <w:tab w:pos="9354" w:val="right"/>
        </w:tabs>
        <w:spacing w:before="0" w:after="0" w:line="360" w:lineRule="auto"/>
        <w:ind w:firstLine="0"/>
        <w:jc w:val="left"/>
      </w:pPr>
      <w:r>
        <w:tab/>
        <w:t>ROI = ((Pчист.год − CAPEX) / CAPEX) × 100 %</w:t>
        <w:tab/>
        <w:t>(10)</w:t>
      </w:r>
    </w:p>
    <w:p>
      <w:pPr>
        <w:spacing w:before="0" w:after="0" w:line="360" w:lineRule="auto"/>
        <w:ind w:firstLine="709"/>
        <w:jc w:val="both"/>
      </w:pPr>
      <w:r>
        <w:rPr>
          <w:b w:val="0"/>
        </w:rPr>
        <w:t>Подстановка значений даёт:</w:t>
      </w:r>
    </w:p>
    <w:p>
      <w:pPr>
        <w:spacing w:before="0" w:after="0" w:line="360" w:lineRule="auto"/>
        <w:ind w:firstLine="0"/>
        <w:jc w:val="both"/>
      </w:pPr>
      <w:r>
        <w:rPr>
          <w:b w:val="0"/>
        </w:rPr>
        <w:t>ROI = ((15 876 397 − 3 273 500) / 3 273 500) × 100 % = (12 602 897 / 3 273 500) × 100 % ≈ 385 %.</w:t>
      </w:r>
    </w:p>
    <w:p>
      <w:pPr>
        <w:spacing w:before="0" w:after="0" w:line="360" w:lineRule="auto"/>
        <w:ind w:firstLine="709"/>
        <w:jc w:val="both"/>
      </w:pPr>
      <w:r>
        <w:rPr>
          <w:b w:val="0"/>
        </w:rPr>
        <w:t>Значение показателя превышает 100 %, то есть проект эффективен: годовой эффект почти в пять раз превышает объём первоначальных инвестиций. Причина, как и в случае рентабельности, лежит в структуре затрат программного продукта — разовые вложения в создание сопоставляются с многократно повторяющимся результатом эксплуатации созданного цифрового актива.</w:t>
      </w:r>
    </w:p>
    <w:p>
      <w:pPr>
        <w:spacing w:before="0" w:after="0" w:line="360" w:lineRule="auto"/>
        <w:ind w:firstLine="709"/>
        <w:jc w:val="both"/>
      </w:pPr>
      <w:r>
        <w:rPr>
          <w:b w:val="0"/>
        </w:rPr>
        <w:t>4. Сценарный анализ устойчивости результата</w:t>
      </w:r>
    </w:p>
    <w:p>
      <w:pPr>
        <w:spacing w:before="0" w:after="0" w:line="360" w:lineRule="auto"/>
        <w:ind w:firstLine="709"/>
        <w:jc w:val="both"/>
      </w:pPr>
      <w:r>
        <w:rPr>
          <w:b w:val="0"/>
        </w:rPr>
        <w:t>Как отмечено в подразделе 2.2, 84 % денежной оценки выгод формируется одним компонентом — приростом дохода от реализации квартир, который опирается на допущение о величине Δp. Корректность вывода об эффективности проекта требует проверки на устойчивость к этому допущению. Рассмотрены три сценария: пессимистический (Δp = 0, то есть система не влияет на цену реализации вовсе и эффект сводится к экономии труда и отказу от подписок), базовый (Δp = 0,1 %) и оптимистический (Δp = 0,2 %). Результаты приведены в таблице 2.11.</w:t>
      </w:r>
    </w:p>
    <w:p>
      <w:pPr>
        <w:spacing w:before="120" w:after="0" w:line="240" w:lineRule="auto"/>
        <w:ind w:firstLine="0"/>
        <w:jc w:val="left"/>
      </w:pPr>
      <w:r>
        <w:rPr>
          <w:b w:val="0"/>
        </w:rPr>
        <w:t>Таблица 2.11 – Сценарный анализ эффективности проекта</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494"/>
          </w:tcPr>
          <w:p>
            <w:pPr>
              <w:spacing w:before="0" w:after="0" w:line="240" w:lineRule="auto"/>
              <w:ind w:firstLine="0"/>
              <w:jc w:val="center"/>
            </w:pPr>
            <w:r/>
            <w:r>
              <w:rPr>
                <w:rFonts w:ascii="Times New Roman" w:hAnsi="Times New Roman"/>
                <w:b/>
                <w:sz w:val="24"/>
              </w:rPr>
              <w:t>Показатель</w:t>
            </w:r>
          </w:p>
        </w:tc>
        <w:tc>
          <w:tcPr>
            <w:tcW w:type="dxa" w:w="1984"/>
          </w:tcPr>
          <w:p>
            <w:pPr>
              <w:spacing w:before="0" w:after="0" w:line="240" w:lineRule="auto"/>
              <w:ind w:firstLine="0"/>
              <w:jc w:val="center"/>
            </w:pPr>
            <w:r/>
            <w:r>
              <w:rPr>
                <w:rFonts w:ascii="Times New Roman" w:hAnsi="Times New Roman"/>
                <w:b/>
                <w:sz w:val="24"/>
              </w:rPr>
              <w:t>Пессимистический (Δp = 0)</w:t>
            </w:r>
          </w:p>
        </w:tc>
        <w:tc>
          <w:tcPr>
            <w:tcW w:type="dxa" w:w="1928"/>
          </w:tcPr>
          <w:p>
            <w:pPr>
              <w:spacing w:before="0" w:after="0" w:line="240" w:lineRule="auto"/>
              <w:ind w:firstLine="0"/>
              <w:jc w:val="center"/>
            </w:pPr>
            <w:r/>
            <w:r>
              <w:rPr>
                <w:rFonts w:ascii="Times New Roman" w:hAnsi="Times New Roman"/>
                <w:b/>
                <w:sz w:val="24"/>
              </w:rPr>
              <w:t>Базовый (Δp = 0,1 %)</w:t>
            </w:r>
          </w:p>
        </w:tc>
        <w:tc>
          <w:tcPr>
            <w:tcW w:type="dxa" w:w="1928"/>
          </w:tcPr>
          <w:p>
            <w:pPr>
              <w:spacing w:before="0" w:after="0" w:line="240" w:lineRule="auto"/>
              <w:ind w:firstLine="0"/>
              <w:jc w:val="center"/>
            </w:pPr>
            <w:r/>
            <w:r>
              <w:rPr>
                <w:rFonts w:ascii="Times New Roman" w:hAnsi="Times New Roman"/>
                <w:b/>
                <w:sz w:val="24"/>
              </w:rPr>
              <w:t>Оптимистический (Δp = 0,2 %)</w:t>
            </w:r>
          </w:p>
        </w:tc>
      </w:tr>
      <w:tr>
        <w:tc>
          <w:tcPr>
            <w:tcW w:type="dxa" w:w="2494"/>
          </w:tcPr>
          <w:p>
            <w:pPr>
              <w:spacing w:before="0" w:after="0" w:line="240" w:lineRule="auto"/>
              <w:ind w:firstLine="0"/>
              <w:jc w:val="left"/>
            </w:pPr>
            <w:r/>
            <w:r>
              <w:rPr>
                <w:rFonts w:ascii="Times New Roman" w:hAnsi="Times New Roman"/>
                <w:b w:val="0"/>
                <w:sz w:val="24"/>
              </w:rPr>
              <w:t>Денежная оценка годовых выгод Vгод, руб.</w:t>
            </w:r>
          </w:p>
        </w:tc>
        <w:tc>
          <w:tcPr>
            <w:tcW w:type="dxa" w:w="1984"/>
          </w:tcPr>
          <w:p>
            <w:pPr>
              <w:spacing w:before="0" w:after="0" w:line="240" w:lineRule="auto"/>
              <w:ind w:firstLine="0"/>
              <w:jc w:val="left"/>
            </w:pPr>
            <w:r/>
            <w:r>
              <w:rPr>
                <w:rFonts w:ascii="Times New Roman" w:hAnsi="Times New Roman"/>
                <w:b w:val="0"/>
                <w:sz w:val="24"/>
              </w:rPr>
              <w:t>2 820 000</w:t>
            </w:r>
          </w:p>
        </w:tc>
        <w:tc>
          <w:tcPr>
            <w:tcW w:type="dxa" w:w="1928"/>
          </w:tcPr>
          <w:p>
            <w:pPr>
              <w:spacing w:before="0" w:after="0" w:line="240" w:lineRule="auto"/>
              <w:ind w:firstLine="0"/>
              <w:jc w:val="left"/>
            </w:pPr>
            <w:r/>
            <w:r>
              <w:rPr>
                <w:rFonts w:ascii="Times New Roman" w:hAnsi="Times New Roman"/>
                <w:b w:val="0"/>
                <w:sz w:val="24"/>
              </w:rPr>
              <w:t>17 678 760</w:t>
            </w:r>
          </w:p>
        </w:tc>
        <w:tc>
          <w:tcPr>
            <w:tcW w:type="dxa" w:w="1928"/>
          </w:tcPr>
          <w:p>
            <w:pPr>
              <w:spacing w:before="0" w:after="0" w:line="240" w:lineRule="auto"/>
              <w:ind w:firstLine="0"/>
              <w:jc w:val="left"/>
            </w:pPr>
            <w:r/>
            <w:r>
              <w:rPr>
                <w:rFonts w:ascii="Times New Roman" w:hAnsi="Times New Roman"/>
                <w:b w:val="0"/>
                <w:sz w:val="24"/>
              </w:rPr>
              <w:t>32 537 520</w:t>
            </w:r>
          </w:p>
        </w:tc>
      </w:tr>
      <w:tr>
        <w:tc>
          <w:tcPr>
            <w:tcW w:type="dxa" w:w="2494"/>
          </w:tcPr>
          <w:p>
            <w:pPr>
              <w:spacing w:before="0" w:after="0" w:line="240" w:lineRule="auto"/>
              <w:ind w:firstLine="0"/>
              <w:jc w:val="left"/>
            </w:pPr>
            <w:r/>
            <w:r>
              <w:rPr>
                <w:rFonts w:ascii="Times New Roman" w:hAnsi="Times New Roman"/>
                <w:b w:val="0"/>
                <w:sz w:val="24"/>
              </w:rPr>
              <w:t>Переменные расходы (3 %), руб.</w:t>
            </w:r>
          </w:p>
        </w:tc>
        <w:tc>
          <w:tcPr>
            <w:tcW w:type="dxa" w:w="1984"/>
          </w:tcPr>
          <w:p>
            <w:pPr>
              <w:spacing w:before="0" w:after="0" w:line="240" w:lineRule="auto"/>
              <w:ind w:firstLine="0"/>
              <w:jc w:val="left"/>
            </w:pPr>
            <w:r/>
            <w:r>
              <w:rPr>
                <w:rFonts w:ascii="Times New Roman" w:hAnsi="Times New Roman"/>
                <w:b w:val="0"/>
                <w:sz w:val="24"/>
              </w:rPr>
              <w:t>84 600</w:t>
            </w:r>
          </w:p>
        </w:tc>
        <w:tc>
          <w:tcPr>
            <w:tcW w:type="dxa" w:w="1928"/>
          </w:tcPr>
          <w:p>
            <w:pPr>
              <w:spacing w:before="0" w:after="0" w:line="240" w:lineRule="auto"/>
              <w:ind w:firstLine="0"/>
              <w:jc w:val="left"/>
            </w:pPr>
            <w:r/>
            <w:r>
              <w:rPr>
                <w:rFonts w:ascii="Times New Roman" w:hAnsi="Times New Roman"/>
                <w:b w:val="0"/>
                <w:sz w:val="24"/>
              </w:rPr>
              <w:t>530 363</w:t>
            </w:r>
          </w:p>
        </w:tc>
        <w:tc>
          <w:tcPr>
            <w:tcW w:type="dxa" w:w="1928"/>
          </w:tcPr>
          <w:p>
            <w:pPr>
              <w:spacing w:before="0" w:after="0" w:line="240" w:lineRule="auto"/>
              <w:ind w:firstLine="0"/>
              <w:jc w:val="left"/>
            </w:pPr>
            <w:r/>
            <w:r>
              <w:rPr>
                <w:rFonts w:ascii="Times New Roman" w:hAnsi="Times New Roman"/>
                <w:b w:val="0"/>
                <w:sz w:val="24"/>
              </w:rPr>
              <w:t>976 126</w:t>
            </w:r>
          </w:p>
        </w:tc>
      </w:tr>
      <w:tr>
        <w:tc>
          <w:tcPr>
            <w:tcW w:type="dxa" w:w="2494"/>
          </w:tcPr>
          <w:p>
            <w:pPr>
              <w:spacing w:before="0" w:after="0" w:line="240" w:lineRule="auto"/>
              <w:ind w:firstLine="0"/>
              <w:jc w:val="left"/>
            </w:pPr>
            <w:r/>
            <w:r>
              <w:rPr>
                <w:rFonts w:ascii="Times New Roman" w:hAnsi="Times New Roman"/>
                <w:b w:val="0"/>
                <w:sz w:val="24"/>
              </w:rPr>
              <w:t>Операционные расходы (OPEX), руб.</w:t>
            </w:r>
          </w:p>
        </w:tc>
        <w:tc>
          <w:tcPr>
            <w:tcW w:type="dxa" w:w="1984"/>
          </w:tcPr>
          <w:p>
            <w:pPr>
              <w:spacing w:before="0" w:after="0" w:line="240" w:lineRule="auto"/>
              <w:ind w:firstLine="0"/>
              <w:jc w:val="left"/>
            </w:pPr>
            <w:r/>
            <w:r>
              <w:rPr>
                <w:rFonts w:ascii="Times New Roman" w:hAnsi="Times New Roman"/>
                <w:b w:val="0"/>
                <w:sz w:val="24"/>
              </w:rPr>
              <w:t>1 272 000</w:t>
            </w:r>
          </w:p>
        </w:tc>
        <w:tc>
          <w:tcPr>
            <w:tcW w:type="dxa" w:w="1928"/>
          </w:tcPr>
          <w:p>
            <w:pPr>
              <w:spacing w:before="0" w:after="0" w:line="240" w:lineRule="auto"/>
              <w:ind w:firstLine="0"/>
              <w:jc w:val="left"/>
            </w:pPr>
            <w:r/>
            <w:r>
              <w:rPr>
                <w:rFonts w:ascii="Times New Roman" w:hAnsi="Times New Roman"/>
                <w:b w:val="0"/>
                <w:sz w:val="24"/>
              </w:rPr>
              <w:t>1 272 000</w:t>
            </w:r>
          </w:p>
        </w:tc>
        <w:tc>
          <w:tcPr>
            <w:tcW w:type="dxa" w:w="1928"/>
          </w:tcPr>
          <w:p>
            <w:pPr>
              <w:spacing w:before="0" w:after="0" w:line="240" w:lineRule="auto"/>
              <w:ind w:firstLine="0"/>
              <w:jc w:val="left"/>
            </w:pPr>
            <w:r/>
            <w:r>
              <w:rPr>
                <w:rFonts w:ascii="Times New Roman" w:hAnsi="Times New Roman"/>
                <w:b w:val="0"/>
                <w:sz w:val="24"/>
              </w:rPr>
              <w:t>1 272 000</w:t>
            </w:r>
          </w:p>
        </w:tc>
      </w:tr>
      <w:tr>
        <w:tc>
          <w:tcPr>
            <w:tcW w:type="dxa" w:w="2494"/>
          </w:tcPr>
          <w:p>
            <w:pPr>
              <w:spacing w:before="0" w:after="0" w:line="240" w:lineRule="auto"/>
              <w:ind w:firstLine="0"/>
              <w:jc w:val="left"/>
            </w:pPr>
            <w:r/>
            <w:r>
              <w:rPr>
                <w:rFonts w:ascii="Times New Roman" w:hAnsi="Times New Roman"/>
                <w:b w:val="0"/>
                <w:sz w:val="24"/>
              </w:rPr>
              <w:t>Чистый годовой эффект, руб.</w:t>
            </w:r>
          </w:p>
        </w:tc>
        <w:tc>
          <w:tcPr>
            <w:tcW w:type="dxa" w:w="1984"/>
          </w:tcPr>
          <w:p>
            <w:pPr>
              <w:spacing w:before="0" w:after="0" w:line="240" w:lineRule="auto"/>
              <w:ind w:firstLine="0"/>
              <w:jc w:val="left"/>
            </w:pPr>
            <w:r/>
            <w:r>
              <w:rPr>
                <w:rFonts w:ascii="Times New Roman" w:hAnsi="Times New Roman"/>
                <w:b w:val="0"/>
                <w:sz w:val="24"/>
              </w:rPr>
              <w:t>1 463 400</w:t>
            </w:r>
          </w:p>
        </w:tc>
        <w:tc>
          <w:tcPr>
            <w:tcW w:type="dxa" w:w="1928"/>
          </w:tcPr>
          <w:p>
            <w:pPr>
              <w:spacing w:before="0" w:after="0" w:line="240" w:lineRule="auto"/>
              <w:ind w:firstLine="0"/>
              <w:jc w:val="left"/>
            </w:pPr>
            <w:r/>
            <w:r>
              <w:rPr>
                <w:rFonts w:ascii="Times New Roman" w:hAnsi="Times New Roman"/>
                <w:b w:val="0"/>
                <w:sz w:val="24"/>
              </w:rPr>
              <w:t>15 876 397</w:t>
            </w:r>
          </w:p>
        </w:tc>
        <w:tc>
          <w:tcPr>
            <w:tcW w:type="dxa" w:w="1928"/>
          </w:tcPr>
          <w:p>
            <w:pPr>
              <w:spacing w:before="0" w:after="0" w:line="240" w:lineRule="auto"/>
              <w:ind w:firstLine="0"/>
              <w:jc w:val="left"/>
            </w:pPr>
            <w:r/>
            <w:r>
              <w:rPr>
                <w:rFonts w:ascii="Times New Roman" w:hAnsi="Times New Roman"/>
                <w:b w:val="0"/>
                <w:sz w:val="24"/>
              </w:rPr>
              <w:t>30 289 394</w:t>
            </w:r>
          </w:p>
        </w:tc>
      </w:tr>
      <w:tr>
        <w:tc>
          <w:tcPr>
            <w:tcW w:type="dxa" w:w="2494"/>
          </w:tcPr>
          <w:p>
            <w:pPr>
              <w:spacing w:before="0" w:after="0" w:line="240" w:lineRule="auto"/>
              <w:ind w:firstLine="0"/>
              <w:jc w:val="left"/>
            </w:pPr>
            <w:r/>
            <w:r>
              <w:rPr>
                <w:rFonts w:ascii="Times New Roman" w:hAnsi="Times New Roman"/>
                <w:b w:val="0"/>
                <w:sz w:val="24"/>
              </w:rPr>
              <w:t>Срок окупаемости PP</w:t>
            </w:r>
          </w:p>
        </w:tc>
        <w:tc>
          <w:tcPr>
            <w:tcW w:type="dxa" w:w="1984"/>
          </w:tcPr>
          <w:p>
            <w:pPr>
              <w:spacing w:before="0" w:after="0" w:line="240" w:lineRule="auto"/>
              <w:ind w:firstLine="0"/>
              <w:jc w:val="left"/>
            </w:pPr>
            <w:r/>
            <w:r>
              <w:rPr>
                <w:rFonts w:ascii="Times New Roman" w:hAnsi="Times New Roman"/>
                <w:b w:val="0"/>
                <w:sz w:val="24"/>
              </w:rPr>
              <w:t>2,24 года (≈ 27 мес.)</w:t>
            </w:r>
          </w:p>
        </w:tc>
        <w:tc>
          <w:tcPr>
            <w:tcW w:type="dxa" w:w="1928"/>
          </w:tcPr>
          <w:p>
            <w:pPr>
              <w:spacing w:before="0" w:after="0" w:line="240" w:lineRule="auto"/>
              <w:ind w:firstLine="0"/>
              <w:jc w:val="left"/>
            </w:pPr>
            <w:r/>
            <w:r>
              <w:rPr>
                <w:rFonts w:ascii="Times New Roman" w:hAnsi="Times New Roman"/>
                <w:b w:val="0"/>
                <w:sz w:val="24"/>
              </w:rPr>
              <w:t>0,21 года (≈ 2,5 мес.)</w:t>
            </w:r>
          </w:p>
        </w:tc>
        <w:tc>
          <w:tcPr>
            <w:tcW w:type="dxa" w:w="1928"/>
          </w:tcPr>
          <w:p>
            <w:pPr>
              <w:spacing w:before="0" w:after="0" w:line="240" w:lineRule="auto"/>
              <w:ind w:firstLine="0"/>
              <w:jc w:val="left"/>
            </w:pPr>
            <w:r/>
            <w:r>
              <w:rPr>
                <w:rFonts w:ascii="Times New Roman" w:hAnsi="Times New Roman"/>
                <w:b w:val="0"/>
                <w:sz w:val="24"/>
              </w:rPr>
              <w:t>0,11 года (≈ 1,3 мес.)</w:t>
            </w:r>
          </w:p>
        </w:tc>
      </w:tr>
      <w:tr>
        <w:tc>
          <w:tcPr>
            <w:tcW w:type="dxa" w:w="2494"/>
          </w:tcPr>
          <w:p>
            <w:pPr>
              <w:spacing w:before="0" w:after="0" w:line="240" w:lineRule="auto"/>
              <w:ind w:firstLine="0"/>
              <w:jc w:val="left"/>
            </w:pPr>
            <w:r/>
            <w:r>
              <w:rPr>
                <w:rFonts w:ascii="Times New Roman" w:hAnsi="Times New Roman"/>
                <w:b w:val="0"/>
                <w:sz w:val="24"/>
              </w:rPr>
              <w:t>ROI за первый год</w:t>
            </w:r>
          </w:p>
        </w:tc>
        <w:tc>
          <w:tcPr>
            <w:tcW w:type="dxa" w:w="1984"/>
          </w:tcPr>
          <w:p>
            <w:pPr>
              <w:spacing w:before="0" w:after="0" w:line="240" w:lineRule="auto"/>
              <w:ind w:firstLine="0"/>
              <w:jc w:val="left"/>
            </w:pPr>
            <w:r/>
            <w:r>
              <w:rPr>
                <w:rFonts w:ascii="Times New Roman" w:hAnsi="Times New Roman"/>
                <w:b w:val="0"/>
                <w:sz w:val="24"/>
              </w:rPr>
              <w:t>−55 %</w:t>
            </w:r>
          </w:p>
        </w:tc>
        <w:tc>
          <w:tcPr>
            <w:tcW w:type="dxa" w:w="1928"/>
          </w:tcPr>
          <w:p>
            <w:pPr>
              <w:spacing w:before="0" w:after="0" w:line="240" w:lineRule="auto"/>
              <w:ind w:firstLine="0"/>
              <w:jc w:val="left"/>
            </w:pPr>
            <w:r/>
            <w:r>
              <w:rPr>
                <w:rFonts w:ascii="Times New Roman" w:hAnsi="Times New Roman"/>
                <w:b w:val="0"/>
                <w:sz w:val="24"/>
              </w:rPr>
              <w:t>385 %</w:t>
            </w:r>
          </w:p>
        </w:tc>
        <w:tc>
          <w:tcPr>
            <w:tcW w:type="dxa" w:w="1928"/>
          </w:tcPr>
          <w:p>
            <w:pPr>
              <w:spacing w:before="0" w:after="0" w:line="240" w:lineRule="auto"/>
              <w:ind w:firstLine="0"/>
              <w:jc w:val="left"/>
            </w:pPr>
            <w:r/>
            <w:r>
              <w:rPr>
                <w:rFonts w:ascii="Times New Roman" w:hAnsi="Times New Roman"/>
                <w:b w:val="0"/>
                <w:sz w:val="24"/>
              </w:rPr>
              <w:t>825 %</w:t>
            </w:r>
          </w:p>
        </w:tc>
      </w:tr>
      <w:tr>
        <w:tc>
          <w:tcPr>
            <w:tcW w:type="dxa" w:w="2494"/>
          </w:tcPr>
          <w:p>
            <w:pPr>
              <w:spacing w:before="0" w:after="0" w:line="240" w:lineRule="auto"/>
              <w:ind w:firstLine="0"/>
              <w:jc w:val="left"/>
            </w:pPr>
            <w:r/>
            <w:r>
              <w:rPr>
                <w:rFonts w:ascii="Times New Roman" w:hAnsi="Times New Roman"/>
                <w:b w:val="0"/>
                <w:sz w:val="24"/>
              </w:rPr>
              <w:t>ROI за три года эксплуатации</w:t>
            </w:r>
          </w:p>
        </w:tc>
        <w:tc>
          <w:tcPr>
            <w:tcW w:type="dxa" w:w="1984"/>
          </w:tcPr>
          <w:p>
            <w:pPr>
              <w:spacing w:before="0" w:after="0" w:line="240" w:lineRule="auto"/>
              <w:ind w:firstLine="0"/>
              <w:jc w:val="left"/>
            </w:pPr>
            <w:r/>
            <w:r>
              <w:rPr>
                <w:rFonts w:ascii="Times New Roman" w:hAnsi="Times New Roman"/>
                <w:b w:val="0"/>
                <w:sz w:val="24"/>
              </w:rPr>
              <w:t>34 %</w:t>
            </w:r>
          </w:p>
        </w:tc>
        <w:tc>
          <w:tcPr>
            <w:tcW w:type="dxa" w:w="1928"/>
          </w:tcPr>
          <w:p>
            <w:pPr>
              <w:spacing w:before="0" w:after="0" w:line="240" w:lineRule="auto"/>
              <w:ind w:firstLine="0"/>
              <w:jc w:val="left"/>
            </w:pPr>
            <w:r/>
            <w:r>
              <w:rPr>
                <w:rFonts w:ascii="Times New Roman" w:hAnsi="Times New Roman"/>
                <w:b w:val="0"/>
                <w:sz w:val="24"/>
              </w:rPr>
              <w:t>1 355 %</w:t>
            </w:r>
          </w:p>
        </w:tc>
        <w:tc>
          <w:tcPr>
            <w:tcW w:type="dxa" w:w="1928"/>
          </w:tcPr>
          <w:p>
            <w:pPr>
              <w:spacing w:before="0" w:after="0" w:line="240" w:lineRule="auto"/>
              <w:ind w:firstLine="0"/>
              <w:jc w:val="left"/>
            </w:pPr>
            <w:r/>
            <w:r>
              <w:rPr>
                <w:rFonts w:ascii="Times New Roman" w:hAnsi="Times New Roman"/>
                <w:b w:val="0"/>
                <w:sz w:val="24"/>
              </w:rPr>
              <w:t>2 676 %</w:t>
            </w:r>
          </w:p>
        </w:tc>
      </w:tr>
      <w:tr>
        <w:tc>
          <w:tcPr>
            <w:tcW w:type="dxa" w:w="2494"/>
          </w:tcPr>
          <w:p>
            <w:pPr>
              <w:spacing w:before="0" w:after="0" w:line="240" w:lineRule="auto"/>
              <w:ind w:firstLine="0"/>
              <w:jc w:val="left"/>
            </w:pPr>
            <w:r/>
            <w:r>
              <w:rPr>
                <w:rFonts w:ascii="Times New Roman" w:hAnsi="Times New Roman"/>
                <w:b w:val="0"/>
                <w:sz w:val="24"/>
              </w:rPr>
              <w:t>Вывод по сценарию</w:t>
            </w:r>
          </w:p>
        </w:tc>
        <w:tc>
          <w:tcPr>
            <w:tcW w:type="dxa" w:w="1984"/>
          </w:tcPr>
          <w:p>
            <w:pPr>
              <w:spacing w:before="0" w:after="0" w:line="240" w:lineRule="auto"/>
              <w:ind w:firstLine="0"/>
              <w:jc w:val="left"/>
            </w:pPr>
            <w:r/>
            <w:r>
              <w:rPr>
                <w:rFonts w:ascii="Times New Roman" w:hAnsi="Times New Roman"/>
                <w:b w:val="0"/>
                <w:sz w:val="24"/>
              </w:rPr>
              <w:t>Проект окупается на третьем году; эффективен только на длительном горизонте</w:t>
            </w:r>
          </w:p>
        </w:tc>
        <w:tc>
          <w:tcPr>
            <w:tcW w:type="dxa" w:w="1928"/>
          </w:tcPr>
          <w:p>
            <w:pPr>
              <w:spacing w:before="0" w:after="0" w:line="240" w:lineRule="auto"/>
              <w:ind w:firstLine="0"/>
              <w:jc w:val="left"/>
            </w:pPr>
            <w:r/>
            <w:r>
              <w:rPr>
                <w:rFonts w:ascii="Times New Roman" w:hAnsi="Times New Roman"/>
                <w:b w:val="0"/>
                <w:sz w:val="24"/>
              </w:rPr>
              <w:t>Проект эффективен, окупается в первый год</w:t>
            </w:r>
          </w:p>
        </w:tc>
        <w:tc>
          <w:tcPr>
            <w:tcW w:type="dxa" w:w="1928"/>
          </w:tcPr>
          <w:p>
            <w:pPr>
              <w:spacing w:before="0" w:after="0" w:line="240" w:lineRule="auto"/>
              <w:ind w:firstLine="0"/>
              <w:jc w:val="left"/>
            </w:pPr>
            <w:r/>
            <w:r>
              <w:rPr>
                <w:rFonts w:ascii="Times New Roman" w:hAnsi="Times New Roman"/>
                <w:b w:val="0"/>
                <w:sz w:val="24"/>
              </w:rPr>
              <w:t>Проект высокоэффективен</w:t>
            </w:r>
          </w:p>
        </w:tc>
      </w:tr>
    </w:tbl>
    <w:p>
      <w:pPr>
        <w:spacing w:before="0" w:after="0" w:line="360" w:lineRule="auto"/>
        <w:ind w:firstLine="0"/>
      </w:pPr>
    </w:p>
    <w:p>
      <w:pPr>
        <w:spacing w:before="0" w:after="0" w:line="360" w:lineRule="auto"/>
        <w:ind w:firstLine="709"/>
        <w:jc w:val="both"/>
      </w:pPr>
      <w:r>
        <w:rPr>
          <w:b w:val="0"/>
        </w:rPr>
        <w:t>Сценарный анализ показывает, что вывод об экономической целесообразности проекта устойчив. Даже при полном отказе от допущения о влиянии системы на цену реализации проект остаётся окупаемым: экономия рабочего времени 25 пользователей и отказ от пяти подписок на коммерческую аналитику дают 1 463 400 руб. чистого эффекта в год и окупают вложения за 2,24 года при типичном сроке жизни ведомственной системы 5–7 лет. Базовый и оптимистический сценарии дают окупаемость в пределах первого года. Следовательно, проект эффективен во всём рассмотренном диапазоне допущений, а различается лишь скорость возврата вложений.</w:t>
      </w:r>
    </w:p>
    <w:p>
      <w:pPr>
        <w:spacing w:before="0" w:after="0" w:line="360" w:lineRule="auto"/>
        <w:ind w:firstLine="709"/>
        <w:jc w:val="both"/>
      </w:pPr>
      <w:r>
        <w:rPr>
          <w:b w:val="0"/>
        </w:rPr>
        <w:t>5. Сводные экономические показатели</w:t>
      </w:r>
    </w:p>
    <w:p>
      <w:pPr>
        <w:spacing w:before="0" w:after="0" w:line="360" w:lineRule="auto"/>
        <w:ind w:firstLine="709"/>
        <w:jc w:val="both"/>
      </w:pPr>
      <w:r>
        <w:rPr>
          <w:b w:val="0"/>
        </w:rPr>
        <w:t>Все рассчитанные показатели проекта сведены в таблицу 2.12.</w:t>
      </w:r>
    </w:p>
    <w:p>
      <w:pPr>
        <w:spacing w:before="120" w:after="0" w:line="240" w:lineRule="auto"/>
        <w:ind w:firstLine="0"/>
        <w:jc w:val="left"/>
      </w:pPr>
      <w:r>
        <w:rPr>
          <w:b w:val="0"/>
        </w:rPr>
        <w:t>Таблица 2.12 – Сводные экономические показатели проекта</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624"/>
          </w:tcPr>
          <w:p>
            <w:pPr>
              <w:spacing w:before="0" w:after="0" w:line="240" w:lineRule="auto"/>
              <w:ind w:firstLine="0"/>
              <w:jc w:val="center"/>
            </w:pPr>
            <w:r/>
            <w:r>
              <w:rPr>
                <w:rFonts w:ascii="Times New Roman" w:hAnsi="Times New Roman"/>
                <w:b/>
                <w:sz w:val="24"/>
              </w:rPr>
              <w:t>№ п/п</w:t>
            </w:r>
          </w:p>
        </w:tc>
        <w:tc>
          <w:tcPr>
            <w:tcW w:type="dxa" w:w="1928"/>
          </w:tcPr>
          <w:p>
            <w:pPr>
              <w:spacing w:before="0" w:after="0" w:line="240" w:lineRule="auto"/>
              <w:ind w:firstLine="0"/>
              <w:jc w:val="center"/>
            </w:pPr>
            <w:r/>
            <w:r>
              <w:rPr>
                <w:rFonts w:ascii="Times New Roman" w:hAnsi="Times New Roman"/>
                <w:b/>
                <w:sz w:val="24"/>
              </w:rPr>
              <w:t>Показатель</w:t>
            </w:r>
          </w:p>
        </w:tc>
        <w:tc>
          <w:tcPr>
            <w:tcW w:type="dxa" w:w="2608"/>
          </w:tcPr>
          <w:p>
            <w:pPr>
              <w:spacing w:before="0" w:after="0" w:line="240" w:lineRule="auto"/>
              <w:ind w:firstLine="0"/>
              <w:jc w:val="center"/>
            </w:pPr>
            <w:r/>
            <w:r>
              <w:rPr>
                <w:rFonts w:ascii="Times New Roman" w:hAnsi="Times New Roman"/>
                <w:b/>
                <w:sz w:val="24"/>
              </w:rPr>
              <w:t>Обозначение и формула расчёта</w:t>
            </w:r>
          </w:p>
        </w:tc>
        <w:tc>
          <w:tcPr>
            <w:tcW w:type="dxa" w:w="1814"/>
          </w:tcPr>
          <w:p>
            <w:pPr>
              <w:spacing w:before="0" w:after="0" w:line="240" w:lineRule="auto"/>
              <w:ind w:firstLine="0"/>
              <w:jc w:val="center"/>
            </w:pPr>
            <w:r/>
            <w:r>
              <w:rPr>
                <w:rFonts w:ascii="Times New Roman" w:hAnsi="Times New Roman"/>
                <w:b/>
                <w:sz w:val="24"/>
              </w:rPr>
              <w:t>Значение</w:t>
            </w:r>
          </w:p>
        </w:tc>
        <w:tc>
          <w:tcPr>
            <w:tcW w:type="dxa" w:w="2268"/>
          </w:tcPr>
          <w:p>
            <w:pPr>
              <w:spacing w:before="0" w:after="0" w:line="240" w:lineRule="auto"/>
              <w:ind w:firstLine="0"/>
              <w:jc w:val="center"/>
            </w:pPr>
            <w:r/>
            <w:r>
              <w:rPr>
                <w:rFonts w:ascii="Times New Roman" w:hAnsi="Times New Roman"/>
                <w:b/>
                <w:sz w:val="24"/>
              </w:rPr>
              <w:t>Интерпретация результата</w:t>
            </w:r>
          </w:p>
        </w:tc>
      </w:tr>
      <w:tr>
        <w:tc>
          <w:tcPr>
            <w:tcW w:type="dxa" w:w="624"/>
          </w:tcPr>
          <w:p>
            <w:pPr>
              <w:spacing w:before="0" w:after="0" w:line="240" w:lineRule="auto"/>
              <w:ind w:firstLine="0"/>
              <w:jc w:val="left"/>
            </w:pPr>
            <w:r/>
            <w:r>
              <w:rPr>
                <w:rFonts w:ascii="Times New Roman" w:hAnsi="Times New Roman"/>
                <w:b w:val="0"/>
                <w:sz w:val="24"/>
              </w:rPr>
              <w:t>1</w:t>
            </w:r>
          </w:p>
        </w:tc>
        <w:tc>
          <w:tcPr>
            <w:tcW w:type="dxa" w:w="1928"/>
          </w:tcPr>
          <w:p>
            <w:pPr>
              <w:spacing w:before="0" w:after="0" w:line="240" w:lineRule="auto"/>
              <w:ind w:firstLine="0"/>
              <w:jc w:val="left"/>
            </w:pPr>
            <w:r/>
            <w:r>
              <w:rPr>
                <w:rFonts w:ascii="Times New Roman" w:hAnsi="Times New Roman"/>
                <w:b w:val="0"/>
                <w:sz w:val="24"/>
              </w:rPr>
              <w:t>Капитальные затраты</w:t>
            </w:r>
          </w:p>
        </w:tc>
        <w:tc>
          <w:tcPr>
            <w:tcW w:type="dxa" w:w="2608"/>
          </w:tcPr>
          <w:p>
            <w:pPr>
              <w:spacing w:before="0" w:after="0" w:line="240" w:lineRule="auto"/>
              <w:ind w:firstLine="0"/>
              <w:jc w:val="left"/>
            </w:pPr>
            <w:r/>
            <w:r>
              <w:rPr>
                <w:rFonts w:ascii="Times New Roman" w:hAnsi="Times New Roman"/>
                <w:b w:val="0"/>
                <w:sz w:val="24"/>
              </w:rPr>
              <w:t>CAPEX = CФОТ + Cлиц + Cобор + Cнакл + Cрезерв</w:t>
            </w:r>
          </w:p>
        </w:tc>
        <w:tc>
          <w:tcPr>
            <w:tcW w:type="dxa" w:w="1814"/>
          </w:tcPr>
          <w:p>
            <w:pPr>
              <w:spacing w:before="0" w:after="0" w:line="240" w:lineRule="auto"/>
              <w:ind w:firstLine="0"/>
              <w:jc w:val="left"/>
            </w:pPr>
            <w:r/>
            <w:r>
              <w:rPr>
                <w:rFonts w:ascii="Times New Roman" w:hAnsi="Times New Roman"/>
                <w:b w:val="0"/>
                <w:sz w:val="24"/>
              </w:rPr>
              <w:t>3 273 500 руб.</w:t>
            </w:r>
          </w:p>
        </w:tc>
        <w:tc>
          <w:tcPr>
            <w:tcW w:type="dxa" w:w="2268"/>
          </w:tcPr>
          <w:p>
            <w:pPr>
              <w:spacing w:before="0" w:after="0" w:line="240" w:lineRule="auto"/>
              <w:ind w:firstLine="0"/>
              <w:jc w:val="left"/>
            </w:pPr>
            <w:r/>
            <w:r>
              <w:rPr>
                <w:rFonts w:ascii="Times New Roman" w:hAnsi="Times New Roman"/>
                <w:b w:val="0"/>
                <w:sz w:val="24"/>
              </w:rPr>
              <w:t>Объём первоначальных инвестиций, обоснование цены контракта</w:t>
            </w:r>
          </w:p>
        </w:tc>
      </w:tr>
      <w:tr>
        <w:tc>
          <w:tcPr>
            <w:tcW w:type="dxa" w:w="624"/>
          </w:tcPr>
          <w:p>
            <w:pPr>
              <w:spacing w:before="0" w:after="0" w:line="240" w:lineRule="auto"/>
              <w:ind w:firstLine="0"/>
              <w:jc w:val="left"/>
            </w:pPr>
            <w:r/>
            <w:r>
              <w:rPr>
                <w:rFonts w:ascii="Times New Roman" w:hAnsi="Times New Roman"/>
                <w:b w:val="0"/>
                <w:sz w:val="24"/>
              </w:rPr>
              <w:t>2</w:t>
            </w:r>
          </w:p>
        </w:tc>
        <w:tc>
          <w:tcPr>
            <w:tcW w:type="dxa" w:w="1928"/>
          </w:tcPr>
          <w:p>
            <w:pPr>
              <w:spacing w:before="0" w:after="0" w:line="240" w:lineRule="auto"/>
              <w:ind w:firstLine="0"/>
              <w:jc w:val="left"/>
            </w:pPr>
            <w:r/>
            <w:r>
              <w:rPr>
                <w:rFonts w:ascii="Times New Roman" w:hAnsi="Times New Roman"/>
                <w:b w:val="0"/>
                <w:sz w:val="24"/>
              </w:rPr>
              <w:t>Операционные затраты</w:t>
            </w:r>
          </w:p>
        </w:tc>
        <w:tc>
          <w:tcPr>
            <w:tcW w:type="dxa" w:w="2608"/>
          </w:tcPr>
          <w:p>
            <w:pPr>
              <w:spacing w:before="0" w:after="0" w:line="240" w:lineRule="auto"/>
              <w:ind w:firstLine="0"/>
              <w:jc w:val="left"/>
            </w:pPr>
            <w:r/>
            <w:r>
              <w:rPr>
                <w:rFonts w:ascii="Times New Roman" w:hAnsi="Times New Roman"/>
                <w:b w:val="0"/>
                <w:sz w:val="24"/>
              </w:rPr>
              <w:t>OPEX</w:t>
            </w:r>
          </w:p>
        </w:tc>
        <w:tc>
          <w:tcPr>
            <w:tcW w:type="dxa" w:w="1814"/>
          </w:tcPr>
          <w:p>
            <w:pPr>
              <w:spacing w:before="0" w:after="0" w:line="240" w:lineRule="auto"/>
              <w:ind w:firstLine="0"/>
              <w:jc w:val="left"/>
            </w:pPr>
            <w:r/>
            <w:r>
              <w:rPr>
                <w:rFonts w:ascii="Times New Roman" w:hAnsi="Times New Roman"/>
                <w:b w:val="0"/>
                <w:sz w:val="24"/>
              </w:rPr>
              <w:t>1 272 000 руб./год</w:t>
            </w:r>
          </w:p>
        </w:tc>
        <w:tc>
          <w:tcPr>
            <w:tcW w:type="dxa" w:w="2268"/>
          </w:tcPr>
          <w:p>
            <w:pPr>
              <w:spacing w:before="0" w:after="0" w:line="240" w:lineRule="auto"/>
              <w:ind w:firstLine="0"/>
              <w:jc w:val="left"/>
            </w:pPr>
            <w:r/>
            <w:r>
              <w:rPr>
                <w:rFonts w:ascii="Times New Roman" w:hAnsi="Times New Roman"/>
                <w:b w:val="0"/>
                <w:sz w:val="24"/>
              </w:rPr>
              <w:t>Ежегодная потребность в сопровождении и развитии</w:t>
            </w:r>
          </w:p>
        </w:tc>
      </w:tr>
      <w:tr>
        <w:tc>
          <w:tcPr>
            <w:tcW w:type="dxa" w:w="624"/>
          </w:tcPr>
          <w:p>
            <w:pPr>
              <w:spacing w:before="0" w:after="0" w:line="240" w:lineRule="auto"/>
              <w:ind w:firstLine="0"/>
              <w:jc w:val="left"/>
            </w:pPr>
            <w:r/>
            <w:r>
              <w:rPr>
                <w:rFonts w:ascii="Times New Roman" w:hAnsi="Times New Roman"/>
                <w:b w:val="0"/>
                <w:sz w:val="24"/>
              </w:rPr>
              <w:t>3</w:t>
            </w:r>
          </w:p>
        </w:tc>
        <w:tc>
          <w:tcPr>
            <w:tcW w:type="dxa" w:w="1928"/>
          </w:tcPr>
          <w:p>
            <w:pPr>
              <w:spacing w:before="0" w:after="0" w:line="240" w:lineRule="auto"/>
              <w:ind w:firstLine="0"/>
              <w:jc w:val="left"/>
            </w:pPr>
            <w:r/>
            <w:r>
              <w:rPr>
                <w:rFonts w:ascii="Times New Roman" w:hAnsi="Times New Roman"/>
                <w:b w:val="0"/>
                <w:sz w:val="24"/>
              </w:rPr>
              <w:t>Денежная оценка годовых выгод</w:t>
            </w:r>
          </w:p>
        </w:tc>
        <w:tc>
          <w:tcPr>
            <w:tcW w:type="dxa" w:w="2608"/>
          </w:tcPr>
          <w:p>
            <w:pPr>
              <w:spacing w:before="0" w:after="0" w:line="240" w:lineRule="auto"/>
              <w:ind w:firstLine="0"/>
              <w:jc w:val="left"/>
            </w:pPr>
            <w:r/>
            <w:r>
              <w:rPr>
                <w:rFonts w:ascii="Times New Roman" w:hAnsi="Times New Roman"/>
                <w:b w:val="0"/>
                <w:sz w:val="24"/>
              </w:rPr>
              <w:t>Vгод = Э₁ + Э₂ + Э₃</w:t>
            </w:r>
          </w:p>
        </w:tc>
        <w:tc>
          <w:tcPr>
            <w:tcW w:type="dxa" w:w="1814"/>
          </w:tcPr>
          <w:p>
            <w:pPr>
              <w:spacing w:before="0" w:after="0" w:line="240" w:lineRule="auto"/>
              <w:ind w:firstLine="0"/>
              <w:jc w:val="left"/>
            </w:pPr>
            <w:r/>
            <w:r>
              <w:rPr>
                <w:rFonts w:ascii="Times New Roman" w:hAnsi="Times New Roman"/>
                <w:b w:val="0"/>
                <w:sz w:val="24"/>
              </w:rPr>
              <w:t>17 678 760 руб.</w:t>
            </w:r>
          </w:p>
        </w:tc>
        <w:tc>
          <w:tcPr>
            <w:tcW w:type="dxa" w:w="2268"/>
          </w:tcPr>
          <w:p>
            <w:pPr>
              <w:spacing w:before="0" w:after="0" w:line="240" w:lineRule="auto"/>
              <w:ind w:firstLine="0"/>
              <w:jc w:val="left"/>
            </w:pPr>
            <w:r/>
            <w:r>
              <w:rPr>
                <w:rFonts w:ascii="Times New Roman" w:hAnsi="Times New Roman"/>
                <w:b w:val="0"/>
                <w:sz w:val="24"/>
              </w:rPr>
              <w:t>Суммарный годовой результат эксплуатации</w:t>
            </w:r>
          </w:p>
        </w:tc>
      </w:tr>
      <w:tr>
        <w:tc>
          <w:tcPr>
            <w:tcW w:type="dxa" w:w="624"/>
          </w:tcPr>
          <w:p>
            <w:pPr>
              <w:spacing w:before="0" w:after="0" w:line="240" w:lineRule="auto"/>
              <w:ind w:firstLine="0"/>
              <w:jc w:val="left"/>
            </w:pPr>
            <w:r/>
            <w:r>
              <w:rPr>
                <w:rFonts w:ascii="Times New Roman" w:hAnsi="Times New Roman"/>
                <w:b w:val="0"/>
                <w:sz w:val="24"/>
              </w:rPr>
              <w:t>4</w:t>
            </w:r>
          </w:p>
        </w:tc>
        <w:tc>
          <w:tcPr>
            <w:tcW w:type="dxa" w:w="1928"/>
          </w:tcPr>
          <w:p>
            <w:pPr>
              <w:spacing w:before="0" w:after="0" w:line="240" w:lineRule="auto"/>
              <w:ind w:firstLine="0"/>
              <w:jc w:val="left"/>
            </w:pPr>
            <w:r/>
            <w:r>
              <w:rPr>
                <w:rFonts w:ascii="Times New Roman" w:hAnsi="Times New Roman"/>
                <w:b w:val="0"/>
                <w:sz w:val="24"/>
              </w:rPr>
              <w:t>Чистый годовой эффект</w:t>
            </w:r>
          </w:p>
        </w:tc>
        <w:tc>
          <w:tcPr>
            <w:tcW w:type="dxa" w:w="2608"/>
          </w:tcPr>
          <w:p>
            <w:pPr>
              <w:spacing w:before="0" w:after="0" w:line="240" w:lineRule="auto"/>
              <w:ind w:firstLine="0"/>
              <w:jc w:val="left"/>
            </w:pPr>
            <w:r/>
            <w:r>
              <w:rPr>
                <w:rFonts w:ascii="Times New Roman" w:hAnsi="Times New Roman"/>
                <w:b w:val="0"/>
                <w:sz w:val="24"/>
              </w:rPr>
              <w:t>Pчист = Vгод − Cпер − OPEX</w:t>
            </w:r>
          </w:p>
        </w:tc>
        <w:tc>
          <w:tcPr>
            <w:tcW w:type="dxa" w:w="1814"/>
          </w:tcPr>
          <w:p>
            <w:pPr>
              <w:spacing w:before="0" w:after="0" w:line="240" w:lineRule="auto"/>
              <w:ind w:firstLine="0"/>
              <w:jc w:val="left"/>
            </w:pPr>
            <w:r/>
            <w:r>
              <w:rPr>
                <w:rFonts w:ascii="Times New Roman" w:hAnsi="Times New Roman"/>
                <w:b w:val="0"/>
                <w:sz w:val="24"/>
              </w:rPr>
              <w:t>15 876 397 руб.</w:t>
            </w:r>
          </w:p>
        </w:tc>
        <w:tc>
          <w:tcPr>
            <w:tcW w:type="dxa" w:w="2268"/>
          </w:tcPr>
          <w:p>
            <w:pPr>
              <w:spacing w:before="0" w:after="0" w:line="240" w:lineRule="auto"/>
              <w:ind w:firstLine="0"/>
              <w:jc w:val="left"/>
            </w:pPr>
            <w:r/>
            <w:r>
              <w:rPr>
                <w:rFonts w:ascii="Times New Roman" w:hAnsi="Times New Roman"/>
                <w:b w:val="0"/>
                <w:sz w:val="24"/>
              </w:rPr>
              <w:t>Финансовый результат проекта для заказчика</w:t>
            </w:r>
          </w:p>
        </w:tc>
      </w:tr>
      <w:tr>
        <w:tc>
          <w:tcPr>
            <w:tcW w:type="dxa" w:w="624"/>
          </w:tcPr>
          <w:p>
            <w:pPr>
              <w:spacing w:before="0" w:after="0" w:line="240" w:lineRule="auto"/>
              <w:ind w:firstLine="0"/>
              <w:jc w:val="left"/>
            </w:pPr>
            <w:r/>
            <w:r>
              <w:rPr>
                <w:rFonts w:ascii="Times New Roman" w:hAnsi="Times New Roman"/>
                <w:b w:val="0"/>
                <w:sz w:val="24"/>
              </w:rPr>
              <w:t>5</w:t>
            </w:r>
          </w:p>
        </w:tc>
        <w:tc>
          <w:tcPr>
            <w:tcW w:type="dxa" w:w="1928"/>
          </w:tcPr>
          <w:p>
            <w:pPr>
              <w:spacing w:before="0" w:after="0" w:line="240" w:lineRule="auto"/>
              <w:ind w:firstLine="0"/>
              <w:jc w:val="left"/>
            </w:pPr>
            <w:r/>
            <w:r>
              <w:rPr>
                <w:rFonts w:ascii="Times New Roman" w:hAnsi="Times New Roman"/>
                <w:b w:val="0"/>
                <w:sz w:val="24"/>
              </w:rPr>
              <w:t>Рентабельность по выгодам</w:t>
            </w:r>
          </w:p>
        </w:tc>
        <w:tc>
          <w:tcPr>
            <w:tcW w:type="dxa" w:w="2608"/>
          </w:tcPr>
          <w:p>
            <w:pPr>
              <w:spacing w:before="0" w:after="0" w:line="240" w:lineRule="auto"/>
              <w:ind w:firstLine="0"/>
              <w:jc w:val="left"/>
            </w:pPr>
            <w:r/>
            <w:r>
              <w:rPr>
                <w:rFonts w:ascii="Times New Roman" w:hAnsi="Times New Roman"/>
                <w:b w:val="0"/>
                <w:sz w:val="24"/>
              </w:rPr>
              <w:t>ROS = (Pчист / Vгод) × 100 %</w:t>
            </w:r>
          </w:p>
        </w:tc>
        <w:tc>
          <w:tcPr>
            <w:tcW w:type="dxa" w:w="1814"/>
          </w:tcPr>
          <w:p>
            <w:pPr>
              <w:spacing w:before="0" w:after="0" w:line="240" w:lineRule="auto"/>
              <w:ind w:firstLine="0"/>
              <w:jc w:val="left"/>
            </w:pPr>
            <w:r/>
            <w:r>
              <w:rPr>
                <w:rFonts w:ascii="Times New Roman" w:hAnsi="Times New Roman"/>
                <w:b w:val="0"/>
                <w:sz w:val="24"/>
              </w:rPr>
              <w:t>89,8 %</w:t>
            </w:r>
          </w:p>
        </w:tc>
        <w:tc>
          <w:tcPr>
            <w:tcW w:type="dxa" w:w="2268"/>
          </w:tcPr>
          <w:p>
            <w:pPr>
              <w:spacing w:before="0" w:after="0" w:line="240" w:lineRule="auto"/>
              <w:ind w:firstLine="0"/>
              <w:jc w:val="left"/>
            </w:pPr>
            <w:r/>
            <w:r>
              <w:rPr>
                <w:rFonts w:ascii="Times New Roman" w:hAnsi="Times New Roman"/>
                <w:b w:val="0"/>
                <w:sz w:val="24"/>
              </w:rPr>
              <w:t>Доля чистого эффекта в общей сумме выгод</w:t>
            </w:r>
          </w:p>
        </w:tc>
      </w:tr>
      <w:tr>
        <w:tc>
          <w:tcPr>
            <w:tcW w:type="dxa" w:w="624"/>
          </w:tcPr>
          <w:p>
            <w:pPr>
              <w:spacing w:before="0" w:after="0" w:line="240" w:lineRule="auto"/>
              <w:ind w:firstLine="0"/>
              <w:jc w:val="left"/>
            </w:pPr>
            <w:r/>
            <w:r>
              <w:rPr>
                <w:rFonts w:ascii="Times New Roman" w:hAnsi="Times New Roman"/>
                <w:b w:val="0"/>
                <w:sz w:val="24"/>
              </w:rPr>
              <w:t>6</w:t>
            </w:r>
          </w:p>
        </w:tc>
        <w:tc>
          <w:tcPr>
            <w:tcW w:type="dxa" w:w="1928"/>
          </w:tcPr>
          <w:p>
            <w:pPr>
              <w:spacing w:before="0" w:after="0" w:line="240" w:lineRule="auto"/>
              <w:ind w:firstLine="0"/>
              <w:jc w:val="left"/>
            </w:pPr>
            <w:r/>
            <w:r>
              <w:rPr>
                <w:rFonts w:ascii="Times New Roman" w:hAnsi="Times New Roman"/>
                <w:b w:val="0"/>
                <w:sz w:val="24"/>
              </w:rPr>
              <w:t>Рентабельность инвестиций</w:t>
            </w:r>
          </w:p>
        </w:tc>
        <w:tc>
          <w:tcPr>
            <w:tcW w:type="dxa" w:w="2608"/>
          </w:tcPr>
          <w:p>
            <w:pPr>
              <w:spacing w:before="0" w:after="0" w:line="240" w:lineRule="auto"/>
              <w:ind w:firstLine="0"/>
              <w:jc w:val="left"/>
            </w:pPr>
            <w:r/>
            <w:r>
              <w:rPr>
                <w:rFonts w:ascii="Times New Roman" w:hAnsi="Times New Roman"/>
                <w:b w:val="0"/>
                <w:sz w:val="24"/>
              </w:rPr>
              <w:t>ROI = ((Pчист − CAPEX) / CAPEX) × 100 %</w:t>
            </w:r>
          </w:p>
        </w:tc>
        <w:tc>
          <w:tcPr>
            <w:tcW w:type="dxa" w:w="1814"/>
          </w:tcPr>
          <w:p>
            <w:pPr>
              <w:spacing w:before="0" w:after="0" w:line="240" w:lineRule="auto"/>
              <w:ind w:firstLine="0"/>
              <w:jc w:val="left"/>
            </w:pPr>
            <w:r/>
            <w:r>
              <w:rPr>
                <w:rFonts w:ascii="Times New Roman" w:hAnsi="Times New Roman"/>
                <w:b w:val="0"/>
                <w:sz w:val="24"/>
              </w:rPr>
              <w:t>385 %</w:t>
            </w:r>
          </w:p>
        </w:tc>
        <w:tc>
          <w:tcPr>
            <w:tcW w:type="dxa" w:w="2268"/>
          </w:tcPr>
          <w:p>
            <w:pPr>
              <w:spacing w:before="0" w:after="0" w:line="240" w:lineRule="auto"/>
              <w:ind w:firstLine="0"/>
              <w:jc w:val="left"/>
            </w:pPr>
            <w:r/>
            <w:r>
              <w:rPr>
                <w:rFonts w:ascii="Times New Roman" w:hAnsi="Times New Roman"/>
                <w:b w:val="0"/>
                <w:sz w:val="24"/>
              </w:rPr>
              <w:t>Более 100 % — проект эффективен</w:t>
            </w:r>
          </w:p>
        </w:tc>
      </w:tr>
      <w:tr>
        <w:tc>
          <w:tcPr>
            <w:tcW w:type="dxa" w:w="624"/>
          </w:tcPr>
          <w:p>
            <w:pPr>
              <w:spacing w:before="0" w:after="0" w:line="240" w:lineRule="auto"/>
              <w:ind w:firstLine="0"/>
              <w:jc w:val="left"/>
            </w:pPr>
            <w:r/>
            <w:r>
              <w:rPr>
                <w:rFonts w:ascii="Times New Roman" w:hAnsi="Times New Roman"/>
                <w:b w:val="0"/>
                <w:sz w:val="24"/>
              </w:rPr>
              <w:t>7</w:t>
            </w:r>
          </w:p>
        </w:tc>
        <w:tc>
          <w:tcPr>
            <w:tcW w:type="dxa" w:w="1928"/>
          </w:tcPr>
          <w:p>
            <w:pPr>
              <w:spacing w:before="0" w:after="0" w:line="240" w:lineRule="auto"/>
              <w:ind w:firstLine="0"/>
              <w:jc w:val="left"/>
            </w:pPr>
            <w:r/>
            <w:r>
              <w:rPr>
                <w:rFonts w:ascii="Times New Roman" w:hAnsi="Times New Roman"/>
                <w:b w:val="0"/>
                <w:sz w:val="24"/>
              </w:rPr>
              <w:t>Срок окупаемости</w:t>
            </w:r>
          </w:p>
        </w:tc>
        <w:tc>
          <w:tcPr>
            <w:tcW w:type="dxa" w:w="2608"/>
          </w:tcPr>
          <w:p>
            <w:pPr>
              <w:spacing w:before="0" w:after="0" w:line="240" w:lineRule="auto"/>
              <w:ind w:firstLine="0"/>
              <w:jc w:val="left"/>
            </w:pPr>
            <w:r/>
            <w:r>
              <w:rPr>
                <w:rFonts w:ascii="Times New Roman" w:hAnsi="Times New Roman"/>
                <w:b w:val="0"/>
                <w:sz w:val="24"/>
              </w:rPr>
              <w:t>PP = CAPEX / Pчист.год</w:t>
            </w:r>
          </w:p>
        </w:tc>
        <w:tc>
          <w:tcPr>
            <w:tcW w:type="dxa" w:w="1814"/>
          </w:tcPr>
          <w:p>
            <w:pPr>
              <w:spacing w:before="0" w:after="0" w:line="240" w:lineRule="auto"/>
              <w:ind w:firstLine="0"/>
              <w:jc w:val="left"/>
            </w:pPr>
            <w:r/>
            <w:r>
              <w:rPr>
                <w:rFonts w:ascii="Times New Roman" w:hAnsi="Times New Roman"/>
                <w:b w:val="0"/>
                <w:sz w:val="24"/>
              </w:rPr>
              <w:t>0,21 года (с учётом организационных факторов 6–9 мес.)</w:t>
            </w:r>
          </w:p>
        </w:tc>
        <w:tc>
          <w:tcPr>
            <w:tcW w:type="dxa" w:w="2268"/>
          </w:tcPr>
          <w:p>
            <w:pPr>
              <w:spacing w:before="0" w:after="0" w:line="240" w:lineRule="auto"/>
              <w:ind w:firstLine="0"/>
              <w:jc w:val="left"/>
            </w:pPr>
            <w:r/>
            <w:r>
              <w:rPr>
                <w:rFonts w:ascii="Times New Roman" w:hAnsi="Times New Roman"/>
                <w:b w:val="0"/>
                <w:sz w:val="24"/>
              </w:rPr>
              <w:t>Чем меньше, тем ниже риски</w:t>
            </w:r>
          </w:p>
        </w:tc>
      </w:tr>
      <w:tr>
        <w:tc>
          <w:tcPr>
            <w:tcW w:type="dxa" w:w="624"/>
          </w:tcPr>
          <w:p>
            <w:pPr>
              <w:spacing w:before="0" w:after="0" w:line="240" w:lineRule="auto"/>
              <w:ind w:firstLine="0"/>
              <w:jc w:val="left"/>
            </w:pPr>
            <w:r/>
            <w:r>
              <w:rPr>
                <w:rFonts w:ascii="Times New Roman" w:hAnsi="Times New Roman"/>
                <w:b w:val="0"/>
                <w:sz w:val="24"/>
              </w:rPr>
              <w:t>8</w:t>
            </w:r>
          </w:p>
        </w:tc>
        <w:tc>
          <w:tcPr>
            <w:tcW w:type="dxa" w:w="1928"/>
          </w:tcPr>
          <w:p>
            <w:pPr>
              <w:spacing w:before="0" w:after="0" w:line="240" w:lineRule="auto"/>
              <w:ind w:firstLine="0"/>
              <w:jc w:val="left"/>
            </w:pPr>
            <w:r/>
            <w:r>
              <w:rPr>
                <w:rFonts w:ascii="Times New Roman" w:hAnsi="Times New Roman"/>
                <w:b w:val="0"/>
                <w:sz w:val="24"/>
              </w:rPr>
              <w:t>Точка безубыточности</w:t>
            </w:r>
          </w:p>
        </w:tc>
        <w:tc>
          <w:tcPr>
            <w:tcW w:type="dxa" w:w="2608"/>
          </w:tcPr>
          <w:p>
            <w:pPr>
              <w:spacing w:before="0" w:after="0" w:line="240" w:lineRule="auto"/>
              <w:ind w:firstLine="0"/>
              <w:jc w:val="left"/>
            </w:pPr>
            <w:r/>
            <w:r>
              <w:rPr>
                <w:rFonts w:ascii="Times New Roman" w:hAnsi="Times New Roman"/>
                <w:b w:val="0"/>
                <w:sz w:val="24"/>
              </w:rPr>
              <w:t>QТБУ, VТБУ</w:t>
            </w:r>
          </w:p>
        </w:tc>
        <w:tc>
          <w:tcPr>
            <w:tcW w:type="dxa" w:w="1814"/>
          </w:tcPr>
          <w:p>
            <w:pPr>
              <w:spacing w:before="0" w:after="0" w:line="240" w:lineRule="auto"/>
              <w:ind w:firstLine="0"/>
              <w:jc w:val="left"/>
            </w:pPr>
            <w:r/>
            <w:r>
              <w:rPr>
                <w:rFonts w:ascii="Times New Roman" w:hAnsi="Times New Roman"/>
                <w:b w:val="0"/>
                <w:sz w:val="24"/>
              </w:rPr>
              <w:t>51 квартира; 1 314 372 руб.</w:t>
            </w:r>
          </w:p>
        </w:tc>
        <w:tc>
          <w:tcPr>
            <w:tcW w:type="dxa" w:w="2268"/>
          </w:tcPr>
          <w:p>
            <w:pPr>
              <w:spacing w:before="0" w:after="0" w:line="240" w:lineRule="auto"/>
              <w:ind w:firstLine="0"/>
              <w:jc w:val="left"/>
            </w:pPr>
            <w:r/>
            <w:r>
              <w:rPr>
                <w:rFonts w:ascii="Times New Roman" w:hAnsi="Times New Roman"/>
                <w:b w:val="0"/>
                <w:sz w:val="24"/>
              </w:rPr>
              <w:t>Минимальный объём для покрытия затрат; запас прочности 92,6 %</w:t>
            </w:r>
          </w:p>
        </w:tc>
      </w:tr>
    </w:tbl>
    <w:p>
      <w:pPr>
        <w:spacing w:before="0" w:after="0" w:line="360" w:lineRule="auto"/>
        <w:ind w:firstLine="0"/>
      </w:pPr>
    </w:p>
    <w:p>
      <w:pPr>
        <w:spacing w:before="0" w:after="0" w:line="360" w:lineRule="auto"/>
        <w:ind w:firstLine="709"/>
        <w:jc w:val="both"/>
      </w:pPr>
      <w:r>
        <w:rPr>
          <w:b w:val="0"/>
        </w:rPr>
        <w:t>6. Оценка рисков и практические рекомендации</w:t>
      </w:r>
    </w:p>
    <w:p>
      <w:pPr>
        <w:spacing w:before="0" w:after="0" w:line="360" w:lineRule="auto"/>
        <w:ind w:firstLine="709"/>
        <w:jc w:val="both"/>
      </w:pPr>
      <w:r>
        <w:rPr>
          <w:b w:val="0"/>
        </w:rPr>
        <w:t>Полученные показатели достигаются при управлении четырьмя основными рисками.</w:t>
      </w:r>
    </w:p>
    <w:p>
      <w:pPr>
        <w:spacing w:before="0" w:after="0" w:line="360" w:lineRule="auto"/>
        <w:ind w:firstLine="709"/>
        <w:jc w:val="both"/>
      </w:pPr>
      <w:r>
        <w:rPr>
          <w:b w:val="0"/>
        </w:rPr>
        <w:t>Риск изменения источника данных — наиболее вероятный: структура ответов внешнего портала может измениться без предупреждения, что остановит сбор и обесценит накопленную историю. Меры — контроль результата каждого регламентного прогона с журналированием, уведомление администратора о неудачных прогонах, сохранение статьи «развитие функциональности» в операционных затратах (480 000 руб./год).</w:t>
      </w:r>
    </w:p>
    <w:p>
      <w:pPr>
        <w:spacing w:before="0" w:after="0" w:line="360" w:lineRule="auto"/>
        <w:ind w:firstLine="709"/>
        <w:jc w:val="both"/>
      </w:pPr>
      <w:r>
        <w:rPr>
          <w:b w:val="0"/>
        </w:rPr>
        <w:t>Риск организационного неприятия — наиболее опасный для эффекта: если сотрудники продолжат вести параллельные ручные выгрузки, компонент экономии трудозатрат (1 920 000 руб./год) не будет реализован. Меры — включение отчётов системы в регламент подготовки решений о ценах, обучение пользователей (180 000 руб./год), отказ от параллельных форм ручной отчётности после приёмки.</w:t>
      </w:r>
    </w:p>
    <w:p>
      <w:pPr>
        <w:spacing w:before="0" w:after="0" w:line="360" w:lineRule="auto"/>
        <w:ind w:firstLine="709"/>
        <w:jc w:val="both"/>
      </w:pPr>
      <w:r>
        <w:rPr>
          <w:b w:val="0"/>
        </w:rPr>
        <w:t>Риск дополнительных требований по защите информации: признание системы государственной требует классификации и аттестации по приказу ФСТЭК России № 17, что не учтено в смете минимально жизнеспособной версии [9]. Меры — сохранение резервного фонда (266 200 руб.), уточнение класса защищённости на стадии технического задания, выделение мероприятий по защите информации в отдельный этап контракта.</w:t>
      </w:r>
    </w:p>
    <w:p>
      <w:pPr>
        <w:spacing w:before="0" w:after="0" w:line="360" w:lineRule="auto"/>
        <w:ind w:firstLine="709"/>
        <w:jc w:val="both"/>
      </w:pPr>
      <w:r>
        <w:rPr>
          <w:b w:val="0"/>
        </w:rPr>
        <w:t>Риск завышения ценового эффекта: компонент Э₂ не поддаётся прямому измерению до внедрения. Мера — внедрение с контрольной группой корпусов, по которым решения принимаются без системы, и последующее сравнение фактических цен реализации; при неподтверждении эффекта проект остаётся окупаемым по пессимистическому сценарию.</w:t>
      </w:r>
    </w:p>
    <w:p>
      <w:pPr>
        <w:spacing w:before="0" w:after="0" w:line="360" w:lineRule="auto"/>
        <w:ind w:firstLine="709"/>
        <w:jc w:val="both"/>
      </w:pPr>
      <w:r>
        <w:rPr>
          <w:b w:val="0"/>
        </w:rPr>
        <w:t>На основании расчётов сформулированы следующие практические рекомендации:</w:t>
      </w:r>
    </w:p>
    <w:p>
      <w:pPr>
        <w:spacing w:before="0" w:after="0" w:line="360" w:lineRule="auto"/>
        <w:ind w:firstLine="709"/>
        <w:jc w:val="both"/>
      </w:pPr>
      <w:r>
        <w:rPr>
          <w:b w:val="0"/>
        </w:rPr>
        <w:t>1) реализовать продукт поэтапно, включив в первую очередь модули сбора данных и версионного хранения (критический приоритет по таблице 2.1) — без накопленной истории остальные функции не дают эффекта;</w:t>
      </w:r>
    </w:p>
    <w:p>
      <w:pPr>
        <w:spacing w:before="0" w:after="0" w:line="360" w:lineRule="auto"/>
        <w:ind w:firstLine="709"/>
        <w:jc w:val="both"/>
      </w:pPr>
      <w:r>
        <w:rPr>
          <w:b w:val="0"/>
        </w:rPr>
        <w:t>2) закрепить в государственном контракте передачу исключительного права на исходный код заказчику в соответствии со статьёй 1298 ГК РФ, что исключает зависимость от одного исполнителя при дальнейшем развитии системы;</w:t>
      </w:r>
    </w:p>
    <w:p>
      <w:pPr>
        <w:spacing w:before="0" w:after="0" w:line="360" w:lineRule="auto"/>
        <w:ind w:firstLine="709"/>
        <w:jc w:val="both"/>
      </w:pPr>
      <w:r>
        <w:rPr>
          <w:b w:val="0"/>
        </w:rPr>
        <w:t>3) предусмотреть отдельный контракт на сопровождение с ежегодным подтверждением потребности в объёме 1 272 000 руб., не допуская экономии на статье развития функциональности;</w:t>
      </w:r>
    </w:p>
    <w:p>
      <w:pPr>
        <w:spacing w:before="0" w:after="0" w:line="360" w:lineRule="auto"/>
        <w:ind w:firstLine="709"/>
        <w:jc w:val="both"/>
      </w:pPr>
      <w:r>
        <w:rPr>
          <w:b w:val="0"/>
        </w:rPr>
        <w:t>4) закрепить измеримые показатели эффекта в акте ввода в эксплуатацию (время подготовки среза, доля зафиксированных изменений, время формирования отчёта по корпусу) и проводить их контроль по итогам первого года эксплуатации;</w:t>
      </w:r>
    </w:p>
    <w:p>
      <w:pPr>
        <w:spacing w:before="0" w:after="0" w:line="360" w:lineRule="auto"/>
        <w:ind w:firstLine="709"/>
        <w:jc w:val="both"/>
      </w:pPr>
      <w:r>
        <w:rPr>
          <w:b w:val="0"/>
        </w:rPr>
        <w:t>5) рассмотреть тиражирование продукта на сопоставимые задачи реализации городского имущества (нежилые помещения, машино-места), что не требует новых капитальных затрат на архитектуру, поскольку система изначально поддерживает три типа объектов.</w:t>
      </w:r>
    </w:p>
    <w:p>
      <w:pPr>
        <w:spacing w:before="0" w:after="0" w:line="360" w:lineRule="auto"/>
        <w:ind w:firstLine="709"/>
        <w:jc w:val="both"/>
      </w:pPr>
      <w:r>
        <w:rPr>
          <w:b w:val="0"/>
        </w:rPr>
        <w:t>Вывод по разделу. Анализ эффективности разработки и внедрения программного продукта «mosres» подтверждает экономическую целесообразность проекта. При первоначальных инвестициях 3 273 500 руб. и ежегодных операционных затратах 1 272 000 руб. чистый годовой эффект в базовом сценарии составляет 15 876 397 руб., рентабельность инвестиций — 385 %, простой срок окупаемости — 0,21 года (6–9 месяцев с учётом организационных факторов). Точка безубыточности достигается при реализации 51 квартиры из 686 планируемых, что даёт запас финансовой прочности 92,6 %. Сценарный анализ показывает устойчивость вывода: даже при полном отказе от допущения о влиянии системы на цену реализации проект окупается за 2,24 года при сроке жизни системы 5–7 лет. Проект рекомендуется к реализации при обязательном выполнении мероприятий по управлению перечисленными рисками.</w:t>
      </w:r>
    </w:p>
    <w:p>
      <w:pPr>
        <w:spacing w:before="0" w:after="0" w:line="360" w:lineRule="auto"/>
        <w:ind w:firstLine="0"/>
      </w:pPr>
      <w:r>
        <w:br w:type="page"/>
      </w:r>
    </w:p>
    <w:p>
      <w:pPr>
        <w:pStyle w:val="Heading1"/>
        <w:spacing w:before="0" w:after="0" w:line="360" w:lineRule="auto"/>
        <w:ind w:firstLine="0"/>
        <w:jc w:val="center"/>
      </w:pPr>
      <w:r>
        <w:rPr>
          <w:b/>
        </w:rPr>
        <w:t>ЗАКЛЮЧЕНИЕ</w:t>
      </w:r>
    </w:p>
    <w:p>
      <w:pPr>
        <w:spacing w:before="0" w:after="0" w:line="360" w:lineRule="auto"/>
        <w:ind w:firstLine="0"/>
      </w:pPr>
    </w:p>
    <w:p>
      <w:pPr>
        <w:spacing w:before="0" w:after="0" w:line="360" w:lineRule="auto"/>
        <w:ind w:firstLine="709"/>
        <w:jc w:val="both"/>
      </w:pPr>
      <w:r>
        <w:rPr>
          <w:b w:val="0"/>
        </w:rPr>
        <w:t>В ходе выполнения курсовой работы достигнута поставленная цель: выполнен расчёт экономической эффективности разработки и внедрения программного продукта «mosres» — информационной системы автоматизированного сбора, версионного хранения и анализа данных о квартирах программы реновации города Москвы, внедряемой в контуре Департамента городского имущества города Москвы.</w:t>
      </w:r>
    </w:p>
    <w:p>
      <w:pPr>
        <w:spacing w:before="0" w:after="0" w:line="360" w:lineRule="auto"/>
        <w:ind w:firstLine="709"/>
        <w:jc w:val="both"/>
      </w:pPr>
      <w:r>
        <w:rPr>
          <w:b w:val="0"/>
        </w:rPr>
        <w:t>В процессе исследования решены следующие задачи.</w:t>
      </w:r>
    </w:p>
    <w:p>
      <w:pPr>
        <w:spacing w:before="0" w:after="0" w:line="360" w:lineRule="auto"/>
        <w:ind w:firstLine="709"/>
        <w:jc w:val="both"/>
      </w:pPr>
      <w:r>
        <w:rPr>
          <w:b w:val="0"/>
        </w:rPr>
        <w:t>Раскрыты понятие, сущность и классификация программных продуктов для мониторинга рынка жилой недвижимости. Установлено, что такой продукт характеризуется высокими единовременными и близкими к нулю предельными затратами, вследствие чего оценка трудоёмкости становится определяющим элементом экономического обоснования. Выявлена особенность продуктов, создаваемых для государственного заказчика: их эффект измеряется не выручкой, а денежной оценкой выгод заказчика, включающей экономию трудозатрат, прирост доходов от основной деятельности и отказ от закупки сторонней аналитики.</w:t>
      </w:r>
    </w:p>
    <w:p>
      <w:pPr>
        <w:spacing w:before="0" w:after="0" w:line="360" w:lineRule="auto"/>
        <w:ind w:firstLine="709"/>
        <w:jc w:val="both"/>
      </w:pPr>
      <w:r>
        <w:rPr>
          <w:b w:val="0"/>
        </w:rPr>
        <w:t>Определены нормативно-правовые требования к проекту: часть четвёртая ГК РФ определяет распределение прав на код по государственному контракту, 149-ФЗ обосновывает правомерность автоматизированного сбора общедоступных данных, 152-ФЗ задаёт требования к защите учётных данных, 44-ФЗ — к обоснованию цены контракта, а постановление Правительства Российской Федерации № 1236 определяет выбор стека на свободном программном обеспечении, что минимизирует лицензионную часть капитальных затрат. Одновременно установлен риск дополнительных затрат на аттестацию государственной информационной системы по требованиям приказа ФСТЭК России № 17.</w:t>
      </w:r>
    </w:p>
    <w:p>
      <w:pPr>
        <w:spacing w:before="0" w:after="0" w:line="360" w:lineRule="auto"/>
        <w:ind w:firstLine="709"/>
        <w:jc w:val="both"/>
      </w:pPr>
      <w:r>
        <w:rPr>
          <w:b w:val="0"/>
        </w:rPr>
        <w:t>Проведён сравнительный анализ российских и западных продуктов-аналогов. Установлено, что классифайды охватывают предложение, но не сохраняют его историю; профессиональные аналитические платформы дают историю агрегированно и за плату 150–250 тыс. руб. в год за рабочее место; государственные системы отражают только текущее состояние. Ни одно из решений не ведёт версионную историю изменений по каждому лоту программы реновации, что подтверждает функциональную нишу продукта.</w:t>
      </w:r>
    </w:p>
    <w:p>
      <w:pPr>
        <w:spacing w:before="0" w:after="0" w:line="360" w:lineRule="auto"/>
        <w:ind w:firstLine="709"/>
        <w:jc w:val="both"/>
      </w:pPr>
      <w:r>
        <w:rPr>
          <w:b w:val="0"/>
        </w:rPr>
        <w:t>Описаны основные характеристики продукта: решаемая проблема, четыре цели по критериям SMART, три сегмента пользователей, семь функциональных модулей минимально жизнеспособной версии и технологический стек на свободном программном обеспечении. Трудоёмкость разработки оценена в 1 160 человеко-часов исходя из фактического объёма реализации около 11,5 тыс. строк кода; фонд оплаты труда команды — 2 302 000 руб.</w:t>
      </w:r>
    </w:p>
    <w:p>
      <w:pPr>
        <w:spacing w:before="0" w:after="0" w:line="360" w:lineRule="auto"/>
        <w:ind w:firstLine="709"/>
        <w:jc w:val="both"/>
      </w:pPr>
      <w:r>
        <w:rPr>
          <w:b w:val="0"/>
        </w:rPr>
        <w:t>Рассчитаны капитальные и операционные затраты. Объём первоначальных инвестиций (CAPEX) составил 3 273 500 руб., ежегодные операционные затраты (OPEX) — 1 272 000 руб. Денежная оценка годовых выгод от внедрения при консервативных допущениях составила 17 678 760 руб., в том числе 1 920 000 руб. экономии трудозатрат, 14 858 760 руб. прироста дохода от реализации квартир и 900 000 руб. экономии на подписках; чистый годовой эффект — 15 876 397 руб. при рентабельности по выгодам 89,8 %.</w:t>
      </w:r>
    </w:p>
    <w:p>
      <w:pPr>
        <w:spacing w:before="0" w:after="0" w:line="360" w:lineRule="auto"/>
        <w:ind w:firstLine="709"/>
        <w:jc w:val="both"/>
      </w:pPr>
      <w:r>
        <w:rPr>
          <w:b w:val="0"/>
        </w:rPr>
        <w:t>Проведён анализ показателей эффективности внедрения. Рентабельность инвестиций составила 385 %, простой срок окупаемости — 0,21 года (6–9 месяцев с учётом организационных факторов внедрения), точка безубыточности достигается при реализации 51 квартиры из 686 планируемых при запасе финансовой прочности 92,6 %. Сценарный анализ подтвердил устойчивость вывода: в пессимистическом сценарии, где влияние системы на цену реализации полностью исключено, проект окупается за 2,24 года при сроке жизни ведомственной системы 5–7 лет.</w:t>
      </w:r>
    </w:p>
    <w:p>
      <w:pPr>
        <w:spacing w:before="0" w:after="0" w:line="360" w:lineRule="auto"/>
        <w:ind w:firstLine="709"/>
        <w:jc w:val="both"/>
      </w:pPr>
      <w:r>
        <w:rPr>
          <w:b w:val="0"/>
        </w:rPr>
        <w:t>Таким образом, разработка и внедрение программного продукта «mosres» экономически целесообразны. Проект эффективен во всём рассмотренном диапазоне допущений и различается лишь скоростью возврата вложений; ключевым условием получения запланированного эффекта является не техническая реализация, а организационное внедрение — включение отчётов системы в регламент принятия решений о ценах и отказ от параллельной ручной отчётности. Полученные результаты могут быть использованы как экономическое обоснование начальной (максимальной) цены контракта на разработку и сопровождение системы, а также в качестве экономической части дипломного проекта. Перспективными направлениями дальнейшей разработки темы являются оценка эффекта от тиражирования продукта на нежилые помещения и машино-места, а также построение модели прогнозирования цены реализации на основе накопленной системой истории изменений.</w:t>
      </w:r>
    </w:p>
    <w:p>
      <w:pPr>
        <w:spacing w:before="0" w:after="0" w:line="360" w:lineRule="auto"/>
        <w:ind w:firstLine="0"/>
      </w:pPr>
      <w:r>
        <w:br w:type="page"/>
      </w:r>
    </w:p>
    <w:p>
      <w:pPr>
        <w:pStyle w:val="Heading1"/>
        <w:spacing w:before="0" w:after="0" w:line="360" w:lineRule="auto"/>
        <w:ind w:firstLine="0"/>
        <w:jc w:val="center"/>
      </w:pPr>
      <w:r>
        <w:rPr>
          <w:b/>
        </w:rPr>
        <w:t>СПИСОК ИСПОЛЬЗОВАННЫХ ИСТОЧНИКОВ</w:t>
      </w:r>
    </w:p>
    <w:p>
      <w:pPr>
        <w:spacing w:before="0" w:after="0" w:line="360" w:lineRule="auto"/>
        <w:ind w:firstLine="0"/>
      </w:pPr>
    </w:p>
    <w:p>
      <w:pPr>
        <w:spacing w:before="0" w:after="0" w:line="360" w:lineRule="auto"/>
        <w:ind w:firstLine="709"/>
        <w:jc w:val="both"/>
      </w:pPr>
      <w:r>
        <w:rPr>
          <w:b w:val="0"/>
        </w:rPr>
        <w:t>1) Российская Федерация. Законы. Гражданский кодекс Российской Федерации (часть четвёртая) от 18.12.2006 № 230-ФЗ (последняя редакция). — URL: https://www.consultant.ru/ (дата обращения: 20.09.2026). — Текст: электронный.</w:t>
      </w:r>
    </w:p>
    <w:p>
      <w:pPr>
        <w:spacing w:before="0" w:after="0" w:line="360" w:lineRule="auto"/>
        <w:ind w:firstLine="709"/>
        <w:jc w:val="both"/>
      </w:pPr>
      <w:r>
        <w:rPr>
          <w:b w:val="0"/>
        </w:rPr>
        <w:t>2) Российская Федерация. Законы. Налоговый кодекс Российской Федерации (часть вторая) от 05.08.2000 № 117-ФЗ (последняя редакция), статья 284. — URL: https://www.consultant.ru/ (дата обращения: 20.09.2026). — Текст: электронный.</w:t>
      </w:r>
    </w:p>
    <w:p>
      <w:pPr>
        <w:spacing w:before="0" w:after="0" w:line="360" w:lineRule="auto"/>
        <w:ind w:firstLine="709"/>
        <w:jc w:val="both"/>
      </w:pPr>
      <w:r>
        <w:rPr>
          <w:b w:val="0"/>
        </w:rPr>
        <w:t>3) Российская Федерация. Законы. Федеральный закон «О контрактной системе в сфере закупок товаров, работ, услуг для обеспечения государственных и муниципальных нужд» от 05.04.2013 № 44-ФЗ (последняя редакция). — URL: https://www.consultant.ru/ (дата обращения: 20.09.2026). — Текст: электронный.</w:t>
      </w:r>
    </w:p>
    <w:p>
      <w:pPr>
        <w:spacing w:before="0" w:after="0" w:line="360" w:lineRule="auto"/>
        <w:ind w:firstLine="709"/>
        <w:jc w:val="both"/>
      </w:pPr>
      <w:r>
        <w:rPr>
          <w:b w:val="0"/>
        </w:rPr>
        <w:t>4) Российская Федерация. Законы. Федеральный закон «Об информации, информационных технологиях и о защите информации» от 27.07.2006 № 149-ФЗ (последняя редакция). — URL: https://www.consultant.ru/ (дата обращения: 20.09.2026). — Текст: электронный.</w:t>
      </w:r>
    </w:p>
    <w:p>
      <w:pPr>
        <w:spacing w:before="0" w:after="0" w:line="360" w:lineRule="auto"/>
        <w:ind w:firstLine="709"/>
        <w:jc w:val="both"/>
      </w:pPr>
      <w:r>
        <w:rPr>
          <w:b w:val="0"/>
        </w:rPr>
        <w:t>5) Российская Федерация. Законы. Федеральный закон «О персональных данных» от 27.07.2006 № 152-ФЗ (последняя редакция). — URL: https://www.consultant.ru/ (дата обращения: 20.09.2026). — Текст: электронный.</w:t>
      </w:r>
    </w:p>
    <w:p>
      <w:pPr>
        <w:spacing w:before="0" w:after="0" w:line="360" w:lineRule="auto"/>
        <w:ind w:firstLine="709"/>
        <w:jc w:val="both"/>
      </w:pPr>
      <w:r>
        <w:rPr>
          <w:b w:val="0"/>
        </w:rPr>
        <w:t>6) Российская Федерация. Законы. Федеральный закон «Об обеспечении доступа к информации о деятельности государственных органов и органов местного самоуправления» от 09.02.2009 № 8-ФЗ (последняя редакция). — URL: https://www.consultant.ru/ (дата обращения: 20.09.2026). — Текст: электронный.</w:t>
      </w:r>
    </w:p>
    <w:p>
      <w:pPr>
        <w:spacing w:before="0" w:after="0" w:line="360" w:lineRule="auto"/>
        <w:ind w:firstLine="709"/>
        <w:jc w:val="both"/>
      </w:pPr>
      <w:r>
        <w:rPr>
          <w:b w:val="0"/>
        </w:rPr>
        <w:t>7) Российская Федерация. Законы. Федеральный закон «О внесении изменений в Закон Российской Федерации „О статусе столицы Российской Федерации“ и отдельные законодательные акты Российской Федерации в части установления особенностей реновации жилищного фонда в субъекте Российской Федерации — городе федерального значения Москве» от 01.07.2017 № 141-ФЗ. — URL: https://www.consultant.ru/ (дата обращения: 20.09.2026). — Текст: электронный.</w:t>
      </w:r>
    </w:p>
    <w:p>
      <w:pPr>
        <w:spacing w:before="0" w:after="0" w:line="360" w:lineRule="auto"/>
        <w:ind w:firstLine="709"/>
        <w:jc w:val="both"/>
      </w:pPr>
      <w:r>
        <w:rPr>
          <w:b w:val="0"/>
        </w:rPr>
        <w:t>8) Российская Федерация. Постановление Правительства РФ. Постановление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 от 16.11.2015 № 1236 (последняя редакция). — URL: https://www.consultant.ru/ (дата обращения: 20.09.2026). — Текст: электронный.</w:t>
      </w:r>
    </w:p>
    <w:p>
      <w:pPr>
        <w:spacing w:before="0" w:after="0" w:line="360" w:lineRule="auto"/>
        <w:ind w:firstLine="709"/>
        <w:jc w:val="both"/>
      </w:pPr>
      <w:r>
        <w:rPr>
          <w:b w:val="0"/>
        </w:rPr>
        <w:t>9) Российская Федерация. Приказ ФСТЭК России. Приказ «Об утверждении Требований о защите информации, не составляющей государственную тайну, содержащейся в государственных информационных системах» от 11.02.2013 № 17 (последняя редакция). — URL: https://fstec.ru/ (дата обращения: 20.09.2026). — Текст: электронный.</w:t>
      </w:r>
    </w:p>
    <w:p>
      <w:pPr>
        <w:spacing w:before="0" w:after="0" w:line="360" w:lineRule="auto"/>
        <w:ind w:firstLine="709"/>
        <w:jc w:val="both"/>
      </w:pPr>
      <w:r>
        <w:rPr>
          <w:b w:val="0"/>
        </w:rPr>
        <w:t>10) Москва. Постановление Правительства Москвы. Постановление «О Программе реновации жилищного фонда в городе Москве» от 01.08.2017 № 497-ПП (последняя редакция). — URL: https://www.mos.ru/ (дата обращения: 20.09.2026). — Текст: электронный.</w:t>
      </w:r>
    </w:p>
    <w:p>
      <w:pPr>
        <w:spacing w:before="0" w:after="0" w:line="360" w:lineRule="auto"/>
        <w:ind w:firstLine="709"/>
        <w:jc w:val="both"/>
      </w:pPr>
      <w:r>
        <w:rPr>
          <w:b w:val="0"/>
        </w:rPr>
        <w:t>11) Москва. Постановление Правительства Москвы. Постановление «Об утверждении Положения о Департаменте городского имущества города Москвы» от 20.02.2013 № 99-ПП (последняя редакция). — URL: https://www.mos.ru/ (дата обращения: 20.09.2026). — Текст: электронный.</w:t>
      </w:r>
    </w:p>
    <w:p>
      <w:pPr>
        <w:spacing w:before="0" w:after="0" w:line="360" w:lineRule="auto"/>
        <w:ind w:firstLine="709"/>
        <w:jc w:val="both"/>
      </w:pPr>
      <w:r>
        <w:rPr>
          <w:b w:val="0"/>
        </w:rPr>
        <w:t>12) ГОСТ 34.601-90 Информационная технология. Комплекс стандартов на автоматизированные системы. Автоматизированные системы. Стадии создания. — Москва: Стандартинформ, 2009. — 6 с. — Текст: непосредственный.</w:t>
      </w:r>
    </w:p>
    <w:p>
      <w:pPr>
        <w:spacing w:before="0" w:after="0" w:line="360" w:lineRule="auto"/>
        <w:ind w:firstLine="709"/>
        <w:jc w:val="both"/>
      </w:pPr>
      <w:r>
        <w:rPr>
          <w:b w:val="0"/>
        </w:rPr>
        <w:t>13)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 Москва: Стандартинформ, 2021. — 68 с. — Текст: непосредственный.</w:t>
      </w:r>
    </w:p>
    <w:p>
      <w:pPr>
        <w:spacing w:before="0" w:after="0" w:line="360" w:lineRule="auto"/>
        <w:ind w:firstLine="709"/>
        <w:jc w:val="both"/>
      </w:pPr>
      <w:r>
        <w:rPr>
          <w:b w:val="0"/>
        </w:rPr>
        <w:t>14)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Москва: Стандартинформ, 2015. — 36 с. — Текст: непосредственный.</w:t>
      </w:r>
    </w:p>
    <w:p>
      <w:pPr>
        <w:spacing w:before="0" w:after="0" w:line="360" w:lineRule="auto"/>
        <w:ind w:firstLine="709"/>
        <w:jc w:val="both"/>
      </w:pPr>
      <w:r>
        <w:rPr>
          <w:b w:val="0"/>
        </w:rPr>
        <w:t>15)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Стандартинформ, 2017. — 32 с. — Текст: непосредственный.</w:t>
      </w:r>
    </w:p>
    <w:p>
      <w:pPr>
        <w:spacing w:before="0" w:after="0" w:line="360" w:lineRule="auto"/>
        <w:ind w:firstLine="709"/>
        <w:jc w:val="both"/>
      </w:pPr>
      <w:r>
        <w:rPr>
          <w:b w:val="0"/>
        </w:rPr>
        <w:t>16) Москварталы: официальный портал продажи квартир от города Москвы. — Москва. — Обновляется в течение суток. — URL: https://москварталы.рф/ (дата обращения: 27.09.2026). — Текст: электронный.</w:t>
      </w:r>
    </w:p>
    <w:p>
      <w:pPr>
        <w:spacing w:before="0" w:after="0" w:line="360" w:lineRule="auto"/>
        <w:ind w:firstLine="709"/>
        <w:jc w:val="both"/>
      </w:pPr>
      <w:r>
        <w:rPr>
          <w:b w:val="0"/>
        </w:rPr>
        <w:t>17) Инвестиционный портал города Москвы: официальный сайт. — Москва. — Обновляется в течение суток. — URL: https://investmoscow.ru/ (дата обращения: 27.09.2026). — Текст: электронный.</w:t>
      </w:r>
    </w:p>
    <w:p>
      <w:pPr>
        <w:spacing w:before="0" w:after="0" w:line="360" w:lineRule="auto"/>
        <w:ind w:firstLine="709"/>
        <w:jc w:val="both"/>
      </w:pPr>
      <w:r>
        <w:rPr>
          <w:b w:val="0"/>
        </w:rPr>
        <w:t>18) Единая информационная система жилищного строительства «Наш.Дом.РФ»: официальный сайт. — Москва. — Обновляется в течение суток. — URL: https://наш.дом.рф/ (дата обращения: 22.09.2026). — Текст: электронный.</w:t>
      </w:r>
    </w:p>
    <w:p>
      <w:pPr>
        <w:spacing w:before="0" w:after="0" w:line="360" w:lineRule="auto"/>
        <w:ind w:firstLine="709"/>
        <w:jc w:val="both"/>
      </w:pPr>
      <w:r>
        <w:rPr>
          <w:b w:val="0"/>
        </w:rPr>
        <w:t>19) ЦИАН: сервис объявлений и аналитики рынка недвижимости / ООО «Циан». — Москва. — Обновляется в течение суток. — URL: https://www.cian.ru/ (дата обращения: 22.09.2026). — Текст: электронный.</w:t>
      </w:r>
    </w:p>
    <w:p>
      <w:pPr>
        <w:spacing w:before="0" w:after="0" w:line="360" w:lineRule="auto"/>
        <w:ind w:firstLine="709"/>
        <w:jc w:val="both"/>
      </w:pPr>
      <w:r>
        <w:rPr>
          <w:b w:val="0"/>
        </w:rPr>
        <w:t>20) Домклик: сервис поиска жилья и оформления ипотеки / ПАО Сбербанк. — Москва. — Обновляется в течение суток. — URL: https://domclick.ru/ (дата обращения: 22.09.2026). — Текст: электронный.</w:t>
      </w:r>
    </w:p>
    <w:p>
      <w:pPr>
        <w:spacing w:before="0" w:after="0" w:line="360" w:lineRule="auto"/>
        <w:ind w:firstLine="709"/>
        <w:jc w:val="both"/>
      </w:pPr>
      <w:r>
        <w:rPr>
          <w:b w:val="0"/>
        </w:rPr>
        <w:t>21) Яндекс Недвижимость: сервис объявлений / ООО «Яндекс.Вертикали». — Москва. — Обновляется в течение суток. — URL: https://realty.ya.ru/ (дата обращения: 22.09.2026). — Текст: электронный.</w:t>
      </w:r>
    </w:p>
    <w:p>
      <w:pPr>
        <w:spacing w:before="0" w:after="0" w:line="360" w:lineRule="auto"/>
        <w:ind w:firstLine="709"/>
        <w:jc w:val="both"/>
      </w:pPr>
      <w:r>
        <w:rPr>
          <w:b w:val="0"/>
        </w:rPr>
        <w:t>22) DataFlat.ru: аналитика первичного рынка жилой недвижимости. — Москва. — Обновляется ежемесячно. — URL: https://dataflat.ru/ (дата обращения: 22.09.2026). — Текст: электронный.</w:t>
      </w:r>
    </w:p>
    <w:p>
      <w:pPr>
        <w:spacing w:before="0" w:after="0" w:line="360" w:lineRule="auto"/>
        <w:ind w:firstLine="709"/>
        <w:jc w:val="both"/>
      </w:pPr>
      <w:r>
        <w:rPr>
          <w:b w:val="0"/>
        </w:rPr>
        <w:t>23) bnMAP.pro: аналитическая платформа рынка новостроек. — Москва. — Обновляется в течение суток. — URL: https://bnmap.pro/ (дата обращения: 22.09.2026). — Текст: электронный.</w:t>
      </w:r>
    </w:p>
    <w:p>
      <w:pPr>
        <w:spacing w:before="0" w:after="0" w:line="360" w:lineRule="auto"/>
        <w:ind w:firstLine="709"/>
        <w:jc w:val="both"/>
      </w:pPr>
      <w:r>
        <w:rPr>
          <w:b w:val="0"/>
        </w:rPr>
        <w:t>24) Zillow: real estate marketplace / Zillow Group, Inc. — Seattle, 2026. — URL: https://www.zillow.com/ (дата обращения: 22.09.2026). — Текст: электронный.</w:t>
      </w:r>
    </w:p>
    <w:p>
      <w:pPr>
        <w:spacing w:before="0" w:after="0" w:line="360" w:lineRule="auto"/>
        <w:ind w:firstLine="709"/>
        <w:jc w:val="both"/>
      </w:pPr>
      <w:r>
        <w:rPr>
          <w:b w:val="0"/>
        </w:rPr>
        <w:t>25) Redfin: real estate brokerage and market data / Redfin Corporation. — Seattle, 2026. — URL: https://www.redfin.com/ (дата обращения: 22.09.2026). — Текст: электронный.</w:t>
      </w:r>
    </w:p>
    <w:p>
      <w:pPr>
        <w:spacing w:before="0" w:after="0" w:line="360" w:lineRule="auto"/>
        <w:ind w:firstLine="709"/>
        <w:jc w:val="both"/>
      </w:pPr>
      <w:r>
        <w:rPr>
          <w:b w:val="0"/>
        </w:rPr>
        <w:t>26) Единый реестр российских программ для электронных вычислительных машин и баз данных: официальный сайт. — Москва. — Обновляется в течение суток. — URL: https://reestr.digital.gov.ru/ (дата обращения: 20.09.2026). — Текст: электронный.</w:t>
      </w:r>
    </w:p>
    <w:p>
      <w:pPr>
        <w:spacing w:before="0" w:after="0" w:line="360" w:lineRule="auto"/>
        <w:ind w:firstLine="709"/>
        <w:jc w:val="both"/>
      </w:pPr>
      <w:r>
        <w:rPr>
          <w:b w:val="0"/>
        </w:rPr>
        <w:t>27) Экономика организации (предприятия): учебник / под ред. Н. А. Сафронова. — 3-е изд., перераб. и доп. — Москва: Магистр, ИНФРА-М, 2021. — 256 с. — ISBN 978-5-9776-0367-9. — Текст: непосредственный.</w:t>
      </w:r>
    </w:p>
    <w:p>
      <w:pPr>
        <w:spacing w:before="0" w:after="0" w:line="360" w:lineRule="auto"/>
        <w:ind w:firstLine="709"/>
        <w:jc w:val="both"/>
      </w:pPr>
      <w:r>
        <w:rPr>
          <w:b w:val="0"/>
        </w:rPr>
        <w:t>28) Липсиц, И. В. Экономика: учебник / И. В. Липсиц. — 8-е изд., стер. — Москва: Магистр, 2022. — 607 с. — ISBN 978-5-9776-0466-9. — Текст: непосредственный.</w:t>
      </w:r>
    </w:p>
    <w:p>
      <w:pPr>
        <w:spacing w:before="0" w:after="0" w:line="360" w:lineRule="auto"/>
        <w:ind w:firstLine="709"/>
        <w:jc w:val="both"/>
      </w:pPr>
      <w:r>
        <w:rPr>
          <w:b w:val="0"/>
        </w:rPr>
        <w:t>29) Экономика информационных систем и информационных технологий: учебное пособие / А. В. Гринёва. — Москва: ИНФРА-М, 2020. — 224 с. — ISBN 978-5-16-015388-4. — Текст: непосредственный.</w:t>
      </w:r>
    </w:p>
    <w:p>
      <w:pPr>
        <w:spacing w:before="0" w:after="0" w:line="360" w:lineRule="auto"/>
        <w:ind w:firstLine="709"/>
        <w:jc w:val="both"/>
      </w:pPr>
      <w:r>
        <w:rPr>
          <w:b w:val="0"/>
        </w:rPr>
        <w:t>30) mosres: сервис мониторинга предложения квартир программы реновации города Москвы: техническая документация проекта. — Москва, 2026. — Текст: электронный.</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aps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jc w:val="left"/>
      <w:outlineLvl w:val="1"/>
    </w:pPr>
    <w:rPr>
      <w:rFonts w:asciiTheme="majorHAnsi" w:eastAsiaTheme="majorEastAsia" w:hAnsiTheme="majorHAnsi" w:cstheme="majorBidi" w:ascii="Times New Roman" w:hAnsi="Times New Roman" w:eastAsia="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