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1E90FF" w:sz="16"/>
        </w:pBdr>
        <w:shd w:fill="F2F2F2" w:val="clear"/>
        <w:spacing w:after="60" w:before="0"/>
        <w:ind w:left="3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SEO / PUBLISHING METADATA</w:t>
      </w:r>
    </w:p>
    <w:p>
      <w:pPr>
        <w:shd w:fill="F2F2F2" w:val="clear"/>
        <w:spacing w:after="40" w:before="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Meta Title: </w:t>
      </w:r>
      <w:r>
        <w:rPr>
          <w:rFonts w:ascii="Arial" w:cs="Arial" w:eastAsia="Arial" w:hAnsi="Arial"/>
          <w:sz w:val="20"/>
          <w:szCs w:val="20"/>
        </w:rPr>
        <w:t xml:space="preserve">TQQQ vs QQQ for Non-US Investors (2026): Risks, Taxes &amp; Strategy Guide</w:t>
      </w:r>
    </w:p>
    <w:p>
      <w:pPr>
        <w:shd w:fill="F2F2F2" w:val="clear"/>
        <w:spacing w:after="40" w:before="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Meta Description: </w:t>
      </w:r>
      <w:r>
        <w:rPr>
          <w:rFonts w:ascii="Arial" w:cs="Arial" w:eastAsia="Arial" w:hAnsi="Arial"/>
          <w:sz w:val="20"/>
          <w:szCs w:val="20"/>
        </w:rPr>
        <w:t xml:space="preserve">Compare TQQQ vs QQQ for international investors. Learn about volatility decay, taxes, risks, and when to use leveraged ETFs safely.</w:t>
      </w:r>
    </w:p>
    <w:p>
      <w:pPr>
        <w:shd w:fill="F2F2F2" w:val="clear"/>
        <w:spacing w:after="40" w:before="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URL Slug: </w:t>
      </w:r>
      <w:r>
        <w:rPr>
          <w:rFonts w:ascii="Arial" w:cs="Arial" w:eastAsia="Arial" w:hAnsi="Arial"/>
          <w:color w:val="1E90FF"/>
          <w:sz w:val="20"/>
          <w:szCs w:val="20"/>
        </w:rPr>
        <w:t xml:space="preserve">tqqq-vs-qqq-non-us-investors</w:t>
      </w:r>
    </w:p>
    <w:p>
      <w:pPr>
        <w:shd w:fill="F2F2F2" w:val="clear"/>
        <w:spacing w:after="40" w:before="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Primary Keywords: </w:t>
      </w:r>
      <w:r>
        <w:rPr>
          <w:rFonts w:ascii="Arial" w:cs="Arial" w:eastAsia="Arial" w:hAnsi="Arial"/>
          <w:sz w:val="20"/>
          <w:szCs w:val="20"/>
        </w:rPr>
        <w:t xml:space="preserve">TQQQ vs QQQ · TQQQ for non US investors · QQQ ETF explained · leveraged ETF risks · Nasdaq ETF comparison</w:t>
      </w:r>
    </w:p>
    <w:p>
      <w:pPr>
        <w:shd w:fill="F2F2F2" w:val="clear"/>
        <w:spacing w:after="120" w:before="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Secondary Keywords: </w:t>
      </w:r>
      <w:r>
        <w:rPr>
          <w:rFonts w:ascii="Arial" w:cs="Arial" w:eastAsia="Arial" w:hAnsi="Arial"/>
          <w:sz w:val="20"/>
          <w:szCs w:val="20"/>
        </w:rPr>
        <w:t xml:space="preserve">volatility decay explained · TQQQ strategy · investing in US from abroad · best ETF for international investors · IBKR non US investors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TQQQ vs QQQ: Which ETF Is Better for Non-US Investors in 2026?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you're investing in US markets from outside the US, you've probably come across QQQ and TQQQ. They both track the Nasdaq-100. They are not the same investment.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One is built for long-term growth. The other is a high-risk trading tool that can multiply gains — or destroy capital fast.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👉 I used TQQQ myself during a recovery phase after a 70% portfolio drawdown. Read the full breakdown: </w:t>
      </w:r>
      <w:hyperlink w:history="1" r:id="rIdoml35ovtb_ockwqmop_2a">
        <w:r>
          <w:rPr>
            <w:rFonts w:ascii="Arial" w:cs="Arial" w:eastAsia="Arial" w:hAnsi="Arial"/>
            <w:color w:val="1E90FF"/>
            <w:sz w:val="22"/>
            <w:szCs w:val="22"/>
            <w:u w:val="single"/>
          </w:rPr>
          <w:t xml:space="preserve">Case Study: From -70% to +$470K</w:t>
        </w:r>
      </w:hyperlink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What Are QQQ and TQQQ?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QQQ – Invesco QQQ Trust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QQQ tracks the Nasdaq-100 index, giving exposure to major tech companies like Apple, Microsoft, Nvidia, and Amazon.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Leverage: </w:t>
      </w:r>
      <w:r>
        <w:rPr>
          <w:rFonts w:ascii="Arial" w:cs="Arial" w:eastAsia="Arial" w:hAnsi="Arial"/>
          <w:sz w:val="22"/>
          <w:szCs w:val="22"/>
        </w:rPr>
        <w:t xml:space="preserve">1x (no leverage)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Expense Ratio: </w:t>
      </w:r>
      <w:r>
        <w:rPr>
          <w:rFonts w:ascii="Arial" w:cs="Arial" w:eastAsia="Arial" w:hAnsi="Arial"/>
          <w:sz w:val="22"/>
          <w:szCs w:val="22"/>
        </w:rPr>
        <w:t xml:space="preserve">0.20%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Strategy: </w:t>
      </w:r>
      <w:r>
        <w:rPr>
          <w:rFonts w:ascii="Arial" w:cs="Arial" w:eastAsia="Arial" w:hAnsi="Arial"/>
          <w:sz w:val="22"/>
          <w:szCs w:val="22"/>
        </w:rPr>
        <w:t xml:space="preserve">Long-term investing</w:t>
      </w:r>
    </w:p>
    <w:p>
      <w:pPr>
        <w:pBdr>
          <w:left w:val="single" w:color="1E90FF" w:sz="12"/>
        </w:pBdr>
        <w:shd w:fill="EEF4FB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is the standard way to invest in US tech.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TQQQ – ProShares UltraPro QQQ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TQQQ is a leveraged ETF designed to deliver 3x the daily return of the Nasdaq-100.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Leverage: </w:t>
      </w:r>
      <w:r>
        <w:rPr>
          <w:rFonts w:ascii="Arial" w:cs="Arial" w:eastAsia="Arial" w:hAnsi="Arial"/>
          <w:sz w:val="22"/>
          <w:szCs w:val="22"/>
        </w:rPr>
        <w:t xml:space="preserve">3x (daily reset)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Expense Ratio: </w:t>
      </w:r>
      <w:r>
        <w:rPr>
          <w:rFonts w:ascii="Arial" w:cs="Arial" w:eastAsia="Arial" w:hAnsi="Arial"/>
          <w:sz w:val="22"/>
          <w:szCs w:val="22"/>
        </w:rPr>
        <w:t xml:space="preserve">0.88%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Strategy: </w:t>
      </w:r>
      <w:r>
        <w:rPr>
          <w:rFonts w:ascii="Arial" w:cs="Arial" w:eastAsia="Arial" w:hAnsi="Arial"/>
          <w:sz w:val="22"/>
          <w:szCs w:val="22"/>
        </w:rPr>
        <w:t xml:space="preserve">Short-term / tactical</w:t>
      </w:r>
    </w:p>
    <w:p>
      <w:pPr>
        <w:pBdr>
          <w:left w:val="single" w:color="1E90FF" w:sz="12"/>
        </w:pBdr>
        <w:shd w:fill="EEF4FB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Important: TQQQ is not a "faster QQQ." It behaves differently due to its structure.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The Critical Difference: Volatility Decay and Path Dependency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Most investors misunderstand this.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Volatility Decay (Beta Slippage)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a volatile or sideways market, TQQQ loses value over time — even if the index ends flat.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Day 1: Nasdaq +5% → TQQQ +15%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Day 2: Nasdaq -5% → TQQQ -15%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Nasdaq: ~-0.25%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TQQQ: ~-2.25%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Over time, this compounds and erodes capital.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Path Dependency (Critical Concept)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TQQQ returns depend on how the market moves, not just where it ends.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identical outcomes in QQQ can produce very different results in TQQQ depending on volatility along the way.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50"/>
        <w:gridCol w:w="2925"/>
        <w:gridCol w:w="2925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Nasdaq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QQQ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TQQQ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$10,000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$10,000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Day 1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+8%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$10,800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$12,400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Day 2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-8%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$9,936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$9,424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Day 3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+8%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$10,731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$11,227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Day 4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-8%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$9,872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$8,532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Day 5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+1%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$9,971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$8,617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1E90FF" w:sz="12"/>
        </w:pBdr>
        <w:shd w:fill="EEF4FB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Nasdaq down only ~0.3% over 5 days — but TQQQ lost ~14%. Same index, very different outcome.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why long-term holding of TQQQ in unstable markets can fail — even if the index recovers.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Side-by-Side Comparison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QQQ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TQQQ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Leverage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3x Daily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Expense Ratio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0.20%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0.88%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Risk Level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Moderate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Extreme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Volatility Decay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(High)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 Drawdown (2022)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~-35%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~-80%+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Strategy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Long-term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Tactical</w:t>
            </w:r>
          </w:p>
        </w:tc>
      </w:tr>
    </w:tbl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Tax Considerations for Non-US Investors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Dividend Withholding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Typically 30% for non-US investors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Reduced via tax treaties (e.g., Israel, EU)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Requires W-8BEN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default US withholding rate is 30% — but most countries have a tax treaty that reduces this.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👉 Check your country's rate: </w:t>
      </w:r>
      <w:hyperlink w:history="1" r:id="rId0ecm8yyuaz6jkajfoyitj">
        <w:r>
          <w:rPr>
            <w:rFonts w:ascii="Arial" w:cs="Arial" w:eastAsia="Arial" w:hAnsi="Arial"/>
            <w:color w:val="1E90FF"/>
            <w:sz w:val="22"/>
            <w:szCs w:val="22"/>
            <w:u w:val="single"/>
          </w:rPr>
          <w:t xml:space="preserve">IRS Tax Treaty Tables</w:t>
        </w:r>
      </w:hyperlink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Capital Gains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Usually not taxed by the 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Taxed in your home country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difference: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QQQ</w:t>
      </w:r>
      <w:r>
        <w:rPr>
          <w:rFonts w:ascii="Arial" w:cs="Arial" w:eastAsia="Arial" w:hAnsi="Arial"/>
          <w:sz w:val="22"/>
          <w:szCs w:val="22"/>
        </w:rPr>
        <w:t xml:space="preserve"> → fewer taxable events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TQQQ</w:t>
      </w:r>
      <w:r>
        <w:rPr>
          <w:rFonts w:ascii="Arial" w:cs="Arial" w:eastAsia="Arial" w:hAnsi="Arial"/>
          <w:sz w:val="22"/>
          <w:szCs w:val="22"/>
        </w:rPr>
        <w:t xml:space="preserve"> → frequent trading = more tax exposure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Efficiency Insight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TQQQ</w:t>
      </w:r>
      <w:r>
        <w:rPr>
          <w:rFonts w:ascii="Arial" w:cs="Arial" w:eastAsia="Arial" w:hAnsi="Arial"/>
          <w:sz w:val="22"/>
          <w:szCs w:val="22"/>
        </w:rPr>
        <w:t xml:space="preserve"> → lower dividend yield → less withholding impact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But higher turnover → more complexity.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When QQQ Makes Sense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Choose QQQ if: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invest long-term (5–10 years)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prefer a passive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use DCA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don't monitor markets daily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When TQQQ Can Make Sense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TQQQ works only under specific conditions: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major market drops (50%+)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Strong trending environments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Clear recovery thesis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Active management</w:t>
      </w:r>
    </w:p>
    <w:p>
      <w:pPr>
        <w:spacing w:after="80" w:before="80"/>
      </w:pPr>
      <w:r>
        <w:t xml:space="preserve"/>
      </w:r>
    </w:p>
    <w:p>
      <w:pPr>
        <w:pBdr>
          <w:left w:val="single" w:color="1E90FF" w:sz="12"/>
        </w:pBdr>
        <w:shd w:fill="EEF4FB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It should always be a small part of your portfolio.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my own case, combining TQQQ with an options strategy during a recovery phase turned this structural risk into a significant advantage — </w:t>
      </w:r>
      <w:hyperlink w:history="1" r:id="rIdq7crfpmd1xd0y7wtbvxor">
        <w:r>
          <w:rPr>
            <w:rFonts w:ascii="Arial" w:cs="Arial" w:eastAsia="Arial" w:hAnsi="Arial"/>
            <w:color w:val="1E90FF"/>
            <w:sz w:val="22"/>
            <w:szCs w:val="22"/>
            <w:u w:val="single"/>
          </w:rPr>
          <w:t xml:space="preserve">you can read the full breakdown in the case study.</w:t>
        </w:r>
      </w:hyperlink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When to Avoid TQQQ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Avoid if: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Market near highs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Low volatility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need stability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can't handle large drawdowns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The Reality Most Investors Miss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TQQQ is not an investment. </w:t>
      </w:r>
      <w:r>
        <w:rPr>
          <w:rFonts w:ascii="Arial" w:cs="Arial" w:eastAsia="Arial" w:hAnsi="Arial"/>
          <w:sz w:val="22"/>
          <w:szCs w:val="22"/>
        </w:rPr>
        <w:t xml:space="preserve">It's a tool.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Used correctly</w:t>
      </w:r>
      <w:r>
        <w:rPr>
          <w:rFonts w:ascii="Arial" w:cs="Arial" w:eastAsia="Arial" w:hAnsi="Arial"/>
          <w:sz w:val="22"/>
          <w:szCs w:val="22"/>
        </w:rPr>
        <w:t xml:space="preserve"> → powerful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Used incorrectly</w:t>
      </w:r>
      <w:r>
        <w:rPr>
          <w:rFonts w:ascii="Arial" w:cs="Arial" w:eastAsia="Arial" w:hAnsi="Arial"/>
          <w:sz w:val="22"/>
          <w:szCs w:val="22"/>
        </w:rPr>
        <w:t xml:space="preserve"> → destructive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Which One Should You Choose?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most non-US investors:</w:t>
      </w:r>
    </w:p>
    <w:p>
      <w:pPr>
        <w:pBdr>
          <w:left w:val="single" w:color="1E90FF" w:sz="12"/>
        </w:pBdr>
        <w:shd w:fill="EEF4FB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👉 QQQ is the better default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TQQQ is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Experienced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Specific timing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Controlled exposure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Getting Started (Non-US Investors)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investing, you need the right broker. Key requirements: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 to US markets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Low fees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Reliable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Options support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👉 We recommend IBKR for most non-US investors — </w:t>
      </w:r>
      <w:hyperlink w:history="1" r:id="rId8_zqco34kqdvtsejfpbbl">
        <w:r>
          <w:rPr>
            <w:rFonts w:ascii="Arial" w:cs="Arial" w:eastAsia="Arial" w:hAnsi="Arial"/>
            <w:color w:val="1E90FF"/>
            <w:sz w:val="22"/>
            <w:szCs w:val="22"/>
            <w:u w:val="single"/>
          </w:rPr>
          <w:t xml:space="preserve">here's our full review.</w:t>
        </w:r>
      </w:hyperlink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Final Takeaway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QQQ and TQQQ track the same index — but behave very differently.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QQQ</w:t>
      </w:r>
      <w:r>
        <w:rPr>
          <w:rFonts w:ascii="Arial" w:cs="Arial" w:eastAsia="Arial" w:hAnsi="Arial"/>
          <w:sz w:val="22"/>
          <w:szCs w:val="22"/>
        </w:rPr>
        <w:t xml:space="preserve"> → long-term compounding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TQQQ</w:t>
      </w:r>
      <w:r>
        <w:rPr>
          <w:rFonts w:ascii="Arial" w:cs="Arial" w:eastAsia="Arial" w:hAnsi="Arial"/>
          <w:sz w:val="22"/>
          <w:szCs w:val="22"/>
        </w:rPr>
        <w:t xml:space="preserve"> → leveraged exposure with structural risk</w:t>
      </w:r>
    </w:p>
    <w:p>
      <w:pPr>
        <w:spacing w:after="80" w:before="80"/>
      </w:pPr>
      <w:r>
        <w:t xml:space="preserve"/>
      </w:r>
    </w:p>
    <w:p>
      <w:pPr>
        <w:pBdr>
          <w:left w:val="single" w:color="1E90FF" w:sz="16"/>
        </w:pBdr>
        <w:shd w:fill="EEF4FB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The biggest mistake isn't choosing the wrong ETF. It's using the right one at the wrong time.</w:t>
      </w:r>
    </w:p>
    <w:p>
      <w:pPr>
        <w:pBdr>
          <w:bottom w:val="single" w:color="D0D9E6" w:sz="4"/>
        </w:pBdr>
        <w:spacing w:after="200" w:before="200"/>
      </w:pPr>
      <w:r>
        <w:t xml:space="preserve"/>
      </w:r>
    </w:p>
    <w:p>
      <w:pPr>
        <w:pBdr>
          <w:left w:val="single" w:color="AAAAAA" w:sz="16"/>
        </w:pBdr>
        <w:shd w:fill="F2F2F2" w:val="clear"/>
        <w:spacing w:after="60" w:before="120"/>
        <w:ind w:left="36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NOTES FOR DEVELOPER / CMS SETUP</w:t>
      </w:r>
    </w:p>
    <w:p>
      <w:pPr>
        <w:shd w:fill="F2F2F2" w:val="clear"/>
        <w:spacing w:after="4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AdSense Placement: After intro · After comparison table · Before Getting Started</w:t>
      </w:r>
    </w:p>
    <w:p>
      <w:pPr>
        <w:shd w:fill="F2F2F2" w:val="clear"/>
        <w:spacing w:after="4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Internal Links FROM other articles: use anchor text 'TQQQ vs QQQ explained' or 'leveraged ETF risks'</w:t>
      </w:r>
    </w:p>
    <w:p>
      <w:pPr>
        <w:shd w:fill="F2F2F2" w:val="clear"/>
        <w:spacing w:after="4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>Image to add: Chart comparing TQQQ vs QQQ drawdown (2022)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ml35ovtb_ockwqmop_2a" Type="http://schemas.openxmlformats.org/officeDocument/2006/relationships/hyperlink" Target="https://getglobalyields.com/case-study/from-minus-70-to-plus-470k-real-tqqq-recovery-case-study/" TargetMode="External"/><Relationship Id="rId0ecm8yyuaz6jkajfoyitj" Type="http://schemas.openxmlformats.org/officeDocument/2006/relationships/hyperlink" Target="https://www.irs.gov/individuals/international-taxpayers/tax-treaty-tables" TargetMode="External"/><Relationship Id="rIdq7crfpmd1xd0y7wtbvxor" Type="http://schemas.openxmlformats.org/officeDocument/2006/relationships/hyperlink" Target="https://getglobalyields.com/case-study/from-minus-70-to-plus-470k-real-tqqq-recovery-case-study/" TargetMode="External"/><Relationship Id="rId8_zqco34kqdvtsejfpbbl" Type="http://schemas.openxmlformats.org/officeDocument/2006/relationships/hyperlink" Target="https://getglobalyields.com/best-brokers/interactive-brokers-review-2026-the-best-broker-for-international-investors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2026-04-22T10:50:59.430Z</dcterms:created>
  <dcterms:modified xsi:type="dcterms:W3CDTF">2026-04-22T10:50:59.431Z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