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311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PROJEKTOVANJE I ARHITEKTURA SOFTVERA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2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24</w:t>
      </w:r>
      <w:r>
        <w:rPr>
          <w:rFonts w:hint="default" w:ascii="Arial" w:hAnsi="Arial" w:cs="Arial"/>
          <w:b/>
          <w:sz w:val="28"/>
        </w:rPr>
        <w:t>.10.2021.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cs="Arial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Potrebno je razviti sistem za vođenje knjigovodstva firme. Funkcije koje bi ovaj sistem imao su: Prihvatanje kursne liste, prihvatanje izveštaja banke, generisanje i zatvaranje bilansa ( bilansa stanja i bilansa uspeha), otvaranje poslovne knjige, knjiženje poslovnih promena, zatvaranje poslovnih knjiga (Dnevnik i glavna knjiga). Pored ovih funkcionalnosti vezanih za samo knjigovodstvo postojaće i funkcionalnosti logovanja i registracije, prikaza svih privrednih društva koje korisnik poseduje, selektvanje privrednog druš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>t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va, uvid u sve otvorene poslovne knjige selektovanog društva, kao i prethodno navedeno manipulisanje tim selektovanim knjigama. Jedini aktor u ovom sistemu je knjigovođa koji vrši sve navedene funkcionalnosti.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754370" cy="2674620"/>
            <wp:effectExtent l="0" t="0" r="9525" b="13970"/>
            <wp:docPr id="2" name="Picture 2" descr="SE311-DZ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311-DZ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1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ira Code Medium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311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Projektovanje i arhitektura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EFB577C"/>
    <w:rsid w:val="6979380B"/>
    <w:rsid w:val="6BBF7EFE"/>
    <w:rsid w:val="77FB3AFA"/>
    <w:rsid w:val="7FCF3D70"/>
    <w:rsid w:val="EFEF21AB"/>
    <w:rsid w:val="FB7E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29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2016-10-09T18:02:00Z</dcterms:created>
  <dc:creator>Nenad Strainović</dc:creator>
  <cp:keywords>CS220, Metropolitan 2015</cp:keywords>
  <cp:lastModifiedBy>toma</cp:lastModifiedBy>
  <dcterms:modified xsi:type="dcterms:W3CDTF">2021-10-24T15:24:47Z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