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2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2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2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7</w:t>
      </w: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2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2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23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2"/>
      </w:pPr>
    </w:p>
    <w:p>
      <w:pPr>
        <w:pStyle w:val="12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Kreirajte katalog poslovnih pravila prema šablonu korišćenom na vežbi za sistem koji vam je dodeljen za DZ01. Postavite m</w:t>
      </w:r>
      <w:bookmarkStart w:id="0" w:name="_GoBack"/>
      <w:bookmarkEnd w:id="0"/>
      <w:r>
        <w:rPr>
          <w:rFonts w:hint="default" w:asciiTheme="minorAscii" w:hAnsiTheme="minorAscii"/>
        </w:rPr>
        <w:t>atricu za praćenje, takođe po uzoru na vežbu, da biste naznačili koja od identifikovanih poslovnih pravila moraju biti sprovedena kroz slučaj korišćenja opisan u prethodnom domaćem zadatku. Potrudite se da što bolje identifikujete tip pravila i razlog koji stoji iza njega.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21"/>
        <w:tblW w:w="10507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26"/>
        <w:gridCol w:w="1856"/>
        <w:gridCol w:w="1856"/>
        <w:gridCol w:w="184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19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926" w:type="dxa"/>
            <w:shd w:val="clear" w:color="auto" w:fill="F1F1F1" w:themeFill="background1" w:themeFillShade="F2"/>
          </w:tcPr>
          <w:p>
            <w:pPr>
              <w:pStyle w:val="19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19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19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19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926" w:type="dxa"/>
          </w:tcPr>
          <w:p>
            <w:pPr>
              <w:pStyle w:val="20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Sve onlajn porudžbine se moraju obaviti u toku radnog vremena svih radnji.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856" w:type="dxa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 firme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92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Radnici imaju pravo da odbiju porudžbinu ili da obaveste drugu radnju ukoliko nisu u stanju da je isporuče.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Okidač/Činjenica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 firme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926" w:type="dxa"/>
          </w:tcPr>
          <w:p>
            <w:pPr>
              <w:pStyle w:val="20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Cene u cenovniku se formiraju na osnovu marketinške strategije koju određuje marketing tim sa direktorom  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Računanje</w:t>
            </w:r>
          </w:p>
        </w:tc>
        <w:tc>
          <w:tcPr>
            <w:tcW w:w="1856" w:type="dxa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Marketing tim, direktor firme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92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Radnik ima obavezu da unese svaku porudžbinu koja se desi uživo u radnji.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926" w:type="dxa"/>
          </w:tcPr>
          <w:p>
            <w:pPr>
              <w:pStyle w:val="20"/>
              <w:spacing w:line="240" w:lineRule="exact"/>
              <w:ind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Kupcu koji 2 puta za redom otkaže porudžbinu, na dalje neće moći da poručuje preko interneta nego samo uživo u prodavnici.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856" w:type="dxa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BR-6</w:t>
            </w:r>
          </w:p>
        </w:tc>
        <w:tc>
          <w:tcPr>
            <w:tcW w:w="392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Materijali koji se koristi za pravljenje pita imaju minimalnu količinu koja je dozvoljena na stanju u svakoj radnji. Ako stanje spadne na tu količinu, hitno se mora obaviti porudžbina nedostajućeg materijala.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Okidač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 firme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1020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BR-7</w:t>
            </w:r>
          </w:p>
        </w:tc>
        <w:tc>
          <w:tcPr>
            <w:tcW w:w="3926" w:type="dxa"/>
          </w:tcPr>
          <w:p>
            <w:pPr>
              <w:pStyle w:val="20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Podaci koji se koriste za analizu kupaca moraju poštovati zakon o pravima privatnosti.</w:t>
            </w: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856" w:type="dxa"/>
          </w:tcPr>
          <w:p>
            <w:pPr>
              <w:pStyle w:val="20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pStyle w:val="20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Bezbednosna politika</w:t>
            </w:r>
          </w:p>
        </w:tc>
      </w:tr>
    </w:tbl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5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7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7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7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3"/>
              <w:rFonts w:ascii="Arial" w:hAnsi="Arial" w:cs="Arial"/>
            </w:rPr>
            <w:t xml:space="preserve"> </w:t>
          </w:r>
        </w:p>
      </w:tc>
    </w:tr>
  </w:tbl>
  <w:p>
    <w:pPr>
      <w:pStyle w:val="12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5F7EDC4"/>
    <w:rsid w:val="77FB3AFA"/>
    <w:rsid w:val="BA956CD9"/>
    <w:rsid w:val="EFFDCE97"/>
    <w:rsid w:val="FB7C331C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styleId="9">
    <w:name w:val="Subtitle"/>
    <w:basedOn w:val="1"/>
    <w:next w:val="1"/>
    <w:link w:val="11"/>
    <w:qFormat/>
    <w:uiPriority w:val="11"/>
    <w:rPr>
      <w:rFonts w:eastAsia="Times New Roman"/>
      <w:color w:val="5A5A5A"/>
      <w:spacing w:val="15"/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Subtitle Char"/>
    <w:link w:val="9"/>
    <w:qFormat/>
    <w:uiPriority w:val="11"/>
    <w:rPr>
      <w:rFonts w:eastAsia="Times New Roman"/>
      <w:color w:val="5A5A5A"/>
      <w:spacing w:val="15"/>
    </w:rPr>
  </w:style>
  <w:style w:type="paragraph" w:styleId="12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3">
    <w:name w:val="Placeholder Text"/>
    <w:semiHidden/>
    <w:qFormat/>
    <w:uiPriority w:val="99"/>
    <w:rPr>
      <w:color w:val="808080"/>
    </w:rPr>
  </w:style>
  <w:style w:type="character" w:customStyle="1" w:styleId="14">
    <w:name w:val="Header Char"/>
    <w:basedOn w:val="4"/>
    <w:link w:val="7"/>
    <w:qFormat/>
    <w:uiPriority w:val="99"/>
  </w:style>
  <w:style w:type="character" w:customStyle="1" w:styleId="15">
    <w:name w:val="Footer Char"/>
    <w:basedOn w:val="4"/>
    <w:link w:val="6"/>
    <w:qFormat/>
    <w:uiPriority w:val="99"/>
  </w:style>
  <w:style w:type="character" w:customStyle="1" w:styleId="16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">
    <w:name w:val="CM3"/>
    <w:basedOn w:val="17"/>
    <w:next w:val="17"/>
    <w:qFormat/>
    <w:uiPriority w:val="99"/>
    <w:rPr>
      <w:color w:val="auto"/>
    </w:rPr>
  </w:style>
  <w:style w:type="paragraph" w:customStyle="1" w:styleId="19">
    <w:name w:val="Table Head"/>
    <w:basedOn w:val="3"/>
    <w:next w:val="20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 w:eastAsia="Times New Roman" w:cs="Times New Roman"/>
      <w:b/>
      <w:i/>
      <w:color w:val="auto"/>
      <w:szCs w:val="20"/>
      <w:lang w:val="en-US"/>
    </w:rPr>
  </w:style>
  <w:style w:type="paragraph" w:customStyle="1" w:styleId="20">
    <w:name w:val="Table Text"/>
    <w:basedOn w:val="1"/>
    <w:qFormat/>
    <w:uiPriority w:val="0"/>
    <w:pPr>
      <w:spacing w:before="60" w:after="60" w:line="480" w:lineRule="auto"/>
    </w:pPr>
    <w:rPr>
      <w:rFonts w:ascii="Times New Roman" w:hAnsi="Times New Roman" w:eastAsia="Times New Roman"/>
      <w:sz w:val="24"/>
      <w:szCs w:val="20"/>
      <w:lang w:val="en-US"/>
    </w:rPr>
  </w:style>
  <w:style w:type="table" w:customStyle="1" w:styleId="21">
    <w:name w:val="Plain Table 1"/>
    <w:basedOn w:val="5"/>
    <w:qFormat/>
    <w:uiPriority w:val="41"/>
    <w:rPr>
      <w:rFonts w:ascii="Times New Roman" w:hAnsi="Times New Roman" w:eastAsia="Times New Roman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2021-11-23T15:45:37Z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