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Arial"/>
          <w:lang w:val="sr-Latn-RS"/>
        </w:rPr>
      </w:pPr>
      <w:r>
        <w:rPr>
          <w:rFonts w:cs="Arial"/>
          <w:lang w:val="sr-Latn-RS"/>
        </w:rPr>
        <w:t xml:space="preserve">Poslovna pravila za sistem firme </w:t>
      </w:r>
      <w:r>
        <w:rPr>
          <w:rFonts w:hint="default" w:cs="Arial"/>
        </w:rPr>
        <w:t>"Blinco FF</w:t>
      </w:r>
      <w:r>
        <w:rPr>
          <w:rFonts w:cs="Arial"/>
          <w:lang w:val="sr-Latn-RS"/>
        </w:rPr>
        <w:t>“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 koliko je verovatno da se pravilo vremenom menja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Primer:</w:t>
      </w:r>
    </w:p>
    <w:p>
      <w:pPr>
        <w:rPr>
          <w:rFonts w:ascii="Arial" w:hAnsi="Arial" w:cs="Arial"/>
          <w:lang w:val="sr-Latn-RS"/>
        </w:rPr>
      </w:pPr>
    </w:p>
    <w:tbl>
      <w:tblPr>
        <w:tblStyle w:val="12"/>
        <w:tblW w:w="98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690"/>
        <w:gridCol w:w="1620"/>
        <w:gridCol w:w="1620"/>
        <w:gridCol w:w="1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Vreme isporuke porudžbine se definiše pri prihvatanju porudžbine i kupac se tada obaveštava.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Direktor; Kupac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Svi proizvodi u jednoj porudžbini moraju biti isporučeni na istu lokaciju.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Svi proizvodi u jednoj porudžbini moraju da budu plaćeni korišćenjem istog metoda plaćanja.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Cena porudžbine izračunava se kao zbir pojedinačnih cena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artikala, pomnožene sa količinom naručenog artikla, uz dodavanje važećeg poreza na promet, i dodavanje troškova dostave ukoliko se obrok isporučuje van zone besplatne dostave.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Obračun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poslovanja; Poreski zakon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Prenos podataka koji uključuju finansijske ili lične informacije preko mreže zahtevaju 256-bitnu enkripciju.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Korporativna bezbednosna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BR-6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 je dužan pri prijavljivanju novog zaposlenog na sistem da priloži ugovor u vidu file-a.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prilika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BR-7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Kupcu koji dva puta za redom vrati porudžbinu koju je već naručio, nalog se deaktivira i prestaje saradnja sa njim.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Okidač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BR-8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Sve porudžbine koje se obave do 14h, biće isporučene brzoj pošti u roku od jednog dana. Sve porudžbine nakon 14h biće poslate sa jednim danom zaostatka.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BR-9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Svaki radnik ima ukupno 25 slobodnih dana godišnje.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BR-10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Slobodni dani svih radnika se ne mogu poklopiti. Uvek mora neko od radnika da radi u firmi.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BR-11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Kupci imaju pravo da naručuju porudžbine na različitim adresama.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BR-12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Kupac ima pravo da vidi samo svoje porudžbine i ne sme imati pristup podacima o drugim kupcima.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BR-13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Proizvodi koji se prodaju u firmi</w:t>
            </w:r>
            <w:r>
              <w:rPr>
                <w:rFonts w:hint="default" w:ascii="Arial" w:hAnsi="Arial" w:cs="Arial"/>
                <w:sz w:val="22"/>
                <w:szCs w:val="22"/>
              </w:rPr>
              <w:t>, a prehramenog su karaktera (hrana za ribe...)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moraju poštovati zakonske regulative koje se tiču hemijske analize i poštovanja isteka roka trajanja.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Zakonska regulativa;</w:t>
            </w:r>
          </w:p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BR-14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Izveštaji koji se generišu na sistemu su isključivo dostupni i vidljivi direktoru. Izveštaji moraju poštovati pravo privatnosti ukoliko su vezani za zaposlene ili kupce.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Zakonska regulativa;</w:t>
            </w:r>
          </w:p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</w:tbl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sz w:val="22"/>
        <w:lang w:val="sr-Latn-RS"/>
      </w:rPr>
      <w:id w:val="-61024992"/>
      <w:docPartObj>
        <w:docPartGallery w:val="autotext"/>
      </w:docPartObj>
    </w:sdtPr>
    <w:sdtEndPr>
      <w:rPr>
        <w:b/>
        <w:sz w:val="22"/>
        <w:lang w:val="sr-Latn-RS"/>
      </w:rPr>
    </w:sdtEndPr>
    <w:sdtContent>
      <w:p>
        <w:pPr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7"/>
          <w:framePr w:wrap="around" w:vAnchor="text" w:hAnchor="margin" w:xAlign="right" w:y="1"/>
          <w:rPr>
            <w:rStyle w:val="9"/>
            <w:lang w:val="sr-Latn-RS"/>
          </w:rPr>
        </w:pPr>
      </w:p>
      <w:p>
        <w:pPr>
          <w:pStyle w:val="7"/>
          <w:ind w:right="360"/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7"/>
          <w:framePr w:wrap="around" w:vAnchor="text" w:hAnchor="margin" w:xAlign="right" w:y="1"/>
          <w:rPr>
            <w:rStyle w:val="9"/>
            <w:rFonts w:ascii="Arial" w:hAnsi="Arial" w:cs="Arial"/>
            <w:i/>
            <w:sz w:val="20"/>
            <w:lang w:val="sr-Latn-RS"/>
          </w:rPr>
        </w:pPr>
        <w:r>
          <w:rPr>
            <w:rStyle w:val="9"/>
            <w:rFonts w:ascii="Arial" w:hAnsi="Arial" w:cs="Arial"/>
            <w:i/>
            <w:sz w:val="20"/>
            <w:lang w:val="sr-Latn-RS"/>
          </w:rPr>
          <w:fldChar w:fldCharType="begin"/>
        </w:r>
        <w:r>
          <w:rPr>
            <w:rStyle w:val="9"/>
            <w:rFonts w:ascii="Arial" w:hAnsi="Arial" w:cs="Arial"/>
            <w:i/>
            <w:sz w:val="20"/>
            <w:lang w:val="sr-Latn-RS"/>
          </w:rPr>
          <w:instrText xml:space="preserve">PAGE  </w:instrText>
        </w:r>
        <w:r>
          <w:rPr>
            <w:rStyle w:val="9"/>
            <w:rFonts w:ascii="Arial" w:hAnsi="Arial" w:cs="Arial"/>
            <w:i/>
            <w:sz w:val="20"/>
            <w:lang w:val="sr-Latn-RS"/>
          </w:rPr>
          <w:fldChar w:fldCharType="separate"/>
        </w:r>
        <w:r>
          <w:rPr>
            <w:rStyle w:val="9"/>
            <w:rFonts w:ascii="Arial" w:hAnsi="Arial" w:cs="Arial"/>
            <w:i/>
            <w:sz w:val="20"/>
            <w:lang w:val="sr-Latn-RS"/>
          </w:rPr>
          <w:t>2</w:t>
        </w:r>
        <w:r>
          <w:rPr>
            <w:rStyle w:val="9"/>
            <w:rFonts w:ascii="Arial" w:hAnsi="Arial" w:cs="Arial"/>
            <w:i/>
            <w:sz w:val="20"/>
            <w:lang w:val="sr-Latn-RS"/>
          </w:rPr>
          <w:fldChar w:fldCharType="end"/>
        </w:r>
      </w:p>
      <w:p>
        <w:pPr>
          <w:pStyle w:val="7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sz w:val="20"/>
            <w:lang w:val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-76200</wp:posOffset>
                  </wp:positionV>
                  <wp:extent cx="5943600" cy="0"/>
                  <wp:effectExtent l="0" t="9525" r="0" b="952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pt;margin-top:-6pt;height:0pt;width:468pt;z-index:251660288;mso-width-relative:page;mso-height-relative:page;" filled="f" stroked="t" coordsize="21600,21600" o:gfxdata="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PEuEdcAAAAIAQAADwAAAAAAAAABACAAAAA4AAAAZHJzL2Rvd25yZXYueG1sUEsBAhQA&#10;FAAAAAgAh07iQGOTtXTdAQAAwwMAAA4AAAAAAAAAAQAgAAAAPAEAAGRycy9lMm9Eb2MueG1sUEsF&#10;BgAAAAAGAAYAWQEAAIsF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>
        <w:pPr>
          <w:pStyle w:val="7"/>
          <w:jc w:val="center"/>
          <w:rPr>
            <w:lang w:val="sr-Latn-RS"/>
          </w:rPr>
        </w:pPr>
      </w:p>
    </w:sdtContent>
  </w:sdt>
  <w:p>
    <w:pPr>
      <w:pStyle w:val="7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925"/>
        <w:tab w:val="clear" w:pos="4680"/>
        <w:tab w:val="clear" w:pos="9360"/>
      </w:tabs>
      <w:rPr>
        <w:rFonts w:ascii="Arial" w:hAnsi="Arial" w:cs="Arial"/>
        <w:b/>
        <w:i/>
        <w:color w:val="800000"/>
        <w:sz w:val="20"/>
        <w:lang w:val="hr-HR"/>
      </w:rPr>
    </w:pPr>
    <w:r>
      <w:rPr>
        <w:rFonts w:ascii="Arial" w:hAnsi="Arial" w:cs="Arial"/>
        <w:b/>
        <w:i/>
        <w:color w:val="800000"/>
        <w:sz w:val="20"/>
        <w:lang w:val="hr-HR"/>
      </w:rPr>
      <w:t>POSLOVNA PRAVILA</w:t>
    </w:r>
    <w:r>
      <w:rPr>
        <w:rFonts w:ascii="Arial" w:hAnsi="Arial" w:cs="Arial"/>
        <w:b/>
        <w:i/>
        <w:color w:val="800000"/>
        <w:sz w:val="20"/>
        <w:lang w:val="hr-HR"/>
      </w:rPr>
      <w:tab/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9264;mso-width-relative:page;mso-height-relative:page;" filled="f" stroked="t" coordsize="21600,21600" o:gfxdata="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o0MKf9kAAAAJAQAADwAAAAAAAAABACAAAAA4AAAAZHJzL2Rvd25yZXYueG1s&#10;UEsBAhQAFAAAAAgAh07iQN8TRKvhAQAAxgMAAA4AAAAAAAAAAQAgAAAAPgEAAGRycy9lMm9Eb2Mu&#10;eG1sUEsFBgAAAAAGAAYAWQEAAJEFAAAAAA==&#10;">
              <v:fill on="f" focussize="0,0"/>
              <v:stroke weight="1.5pt" color="#5B9BD5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E94D4"/>
    <w:rsid w:val="BFAE94D4"/>
    <w:rsid w:val="EC6D3BA5"/>
    <w:rsid w:val="FBBFD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1"/>
    <w:next w:val="4"/>
    <w:qFormat/>
    <w:uiPriority w:val="0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qFormat/>
    <w:uiPriority w:val="0"/>
    <w:pPr>
      <w:tabs>
        <w:tab w:val="center" w:pos="4680"/>
        <w:tab w:val="right" w:pos="9360"/>
      </w:tabs>
    </w:pPr>
    <w:rPr>
      <w:b/>
      <w:sz w:val="22"/>
    </w:rPr>
  </w:style>
  <w:style w:type="paragraph" w:styleId="8">
    <w:name w:val="header"/>
    <w:basedOn w:val="1"/>
    <w:qFormat/>
    <w:uiPriority w:val="0"/>
    <w:pPr>
      <w:tabs>
        <w:tab w:val="center" w:pos="4680"/>
        <w:tab w:val="right" w:pos="9360"/>
      </w:tabs>
    </w:pPr>
    <w:rPr>
      <w:sz w:val="22"/>
    </w:rPr>
  </w:style>
  <w:style w:type="character" w:styleId="9">
    <w:name w:val="page number"/>
    <w:basedOn w:val="5"/>
    <w:qFormat/>
    <w:uiPriority w:val="99"/>
  </w:style>
  <w:style w:type="paragraph" w:customStyle="1" w:styleId="10">
    <w:name w:val="Table Head"/>
    <w:basedOn w:val="3"/>
    <w:next w:val="11"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11">
    <w:name w:val="Table Text"/>
    <w:basedOn w:val="1"/>
    <w:qFormat/>
    <w:uiPriority w:val="0"/>
    <w:pPr>
      <w:spacing w:before="60" w:after="60" w:line="480" w:lineRule="auto"/>
    </w:pPr>
  </w:style>
  <w:style w:type="table" w:customStyle="1" w:styleId="12">
    <w:name w:val="Plain Table 1"/>
    <w:basedOn w:val="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2022-01-16T19:11:00Z</dcterms:created>
  <dc:creator>toma</dc:creator>
  <cp:lastModifiedBy>toma</cp:lastModifiedBy>
  <dcterms:modified xsi:type="dcterms:W3CDTF">2022-01-18T20:39:37Z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