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="Arial"/>
          <w:lang w:val="sr-Latn-RS"/>
        </w:rPr>
      </w:pPr>
      <w:r>
        <w:rPr>
          <w:rFonts w:cs="Arial"/>
          <w:lang w:val="sr-Latn-RS"/>
        </w:rPr>
        <w:t xml:space="preserve">Poslovna pravila za sistem firme </w:t>
      </w:r>
      <w:r>
        <w:rPr>
          <w:rFonts w:hint="default" w:cs="Arial"/>
        </w:rPr>
        <w:t>"Blinco FF</w:t>
      </w:r>
      <w:bookmarkStart w:id="0" w:name="_GoBack"/>
      <w:bookmarkEnd w:id="0"/>
      <w:r>
        <w:rPr>
          <w:rFonts w:cs="Arial"/>
          <w:lang w:val="sr-Latn-RS"/>
        </w:rPr>
        <w:t>“</w:t>
      </w: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U ovom dokumentu je dat primer tabele u kojoj su popisana poslovna pravila. Slede objašnjenja korišćenih oznaka:</w:t>
      </w: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ID</w:t>
      </w:r>
      <w:r>
        <w:rPr>
          <w:rFonts w:ascii="Arial" w:hAnsi="Arial" w:cs="Arial"/>
          <w:lang w:val="sr-Latn-RS"/>
        </w:rPr>
        <w:t xml:space="preserve"> – jedinstveni identifikator poslovnog pravila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Definicija poslovnog pravila</w:t>
      </w:r>
      <w:r>
        <w:rPr>
          <w:rFonts w:ascii="Arial" w:hAnsi="Arial" w:cs="Arial"/>
          <w:lang w:val="sr-Latn-RS"/>
        </w:rPr>
        <w:t xml:space="preserve"> – kako glasi poslovno pravilo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Tip pravila</w:t>
      </w:r>
      <w:r>
        <w:rPr>
          <w:rFonts w:ascii="Arial" w:hAnsi="Arial" w:cs="Arial"/>
          <w:lang w:val="sr-Latn-RS"/>
        </w:rPr>
        <w:t xml:space="preserve"> - činjenica, ograničenje, obračun, okidač ili zaključak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Statično ili dinamično pravilo</w:t>
      </w:r>
      <w:r>
        <w:rPr>
          <w:rFonts w:ascii="Arial" w:hAnsi="Arial" w:cs="Arial"/>
          <w:lang w:val="sr-Latn-RS"/>
        </w:rPr>
        <w:t xml:space="preserve"> – ukazuje na to koliko je verovatno da se pravilo vremenom menja</w:t>
      </w: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i/>
          <w:iCs/>
          <w:lang w:val="sr-Latn-RS"/>
        </w:rPr>
        <w:t>Izvor</w:t>
      </w:r>
      <w:r>
        <w:rPr>
          <w:rFonts w:ascii="Arial" w:hAnsi="Arial" w:cs="Arial"/>
          <w:lang w:val="sr-Latn-RS"/>
        </w:rPr>
        <w:t xml:space="preserve"> – stejkholder od koga proističe poslovno pravilo</w:t>
      </w: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Primer:</w:t>
      </w:r>
    </w:p>
    <w:p>
      <w:pPr>
        <w:rPr>
          <w:rFonts w:ascii="Arial" w:hAnsi="Arial" w:cs="Arial"/>
          <w:lang w:val="sr-Latn-RS"/>
        </w:rPr>
      </w:pPr>
    </w:p>
    <w:tbl>
      <w:tblPr>
        <w:tblStyle w:val="12"/>
        <w:tblW w:w="9872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3690"/>
        <w:gridCol w:w="1620"/>
        <w:gridCol w:w="1620"/>
        <w:gridCol w:w="18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0"/>
              <w:keepNext/>
              <w:keepLines/>
              <w:spacing w:before="60"/>
              <w:ind w:left="91" w:right="8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ID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0"/>
              <w:keepNext/>
              <w:keepLines/>
              <w:spacing w:before="60"/>
              <w:ind w:left="91" w:right="99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Definicija poslovnog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0"/>
              <w:keepNext/>
              <w:keepLines/>
              <w:spacing w:before="60"/>
              <w:ind w:left="81" w:right="103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Tip pravila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0"/>
              <w:keepNext/>
              <w:keepLines/>
              <w:spacing w:before="60"/>
              <w:ind w:left="77" w:right="8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Statično ili dinamično pravilo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0"/>
              <w:keepNext/>
              <w:keepLines/>
              <w:spacing w:before="60"/>
              <w:ind w:left="92" w:right="98"/>
              <w:jc w:val="center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Izvor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 w:hanging="1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Vreme isporuke porudžbine se definiše pri prihvatanju porudžbine i kupac se tada obaveštava.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Direktor; Kupac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BR-2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Svi proizvodi u jednoj porudžbini moraju biti isporučeni na istu lokaciju.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BR-3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Svi proizvodi u jednoj porudžbini moraju da budu plaćeni korišćenjem istog metoda plaćanja.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BR-4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Cena porudžbine izračunava se kao zbir pojedinačnih cena prehrambenih artikala, pomnožene sa količinom naručenog prehrambenog artikla, uz dodavanje važećeg poreza na promet, i dodavanje troškova dostave ukoliko se obrok isporučuje van zone besplatne dostave.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Obračun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Politika poslovanja; Poreski zakon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BR-5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Prenos podataka koji uključuju finansijske ili lične informacije preko mreže zahtevaju 256-bitnu enkripciju.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Korporativna bezbednosna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BR-6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 je dužan pri prijavljivanju novog zaposlenog na sistem da priloži ugovor u vidu file-a.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prilika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BR-7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Kupcu koji dva puta za redom vrati porudžbinu koju je već naručio, nalog se deaktivira i prestaje saradnja sa njim.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Okidač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BR-8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Sve porudžbine koje se obave do 14h, biće isporučene brzoj pošti u roku od jednog dana. Sve porudžbine nakon 14h biće poslate sa jednim danom zaostatka.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BR-9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Svaki radnik ima ukupno 25 slobodnih dana godišnje.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BR-10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Slobodni dani svih radnika se ne mogu poklopiti. Uvek mora neko od radnika da radi u firmi.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BR-11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Kupci imaju pravo da naručuju porudžbine na različitim adresama.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Činjenica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Dinamično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BR-12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Kupac ima pravo da vidi samo svoje porudžbine i ne sme imati pristup podacima o drugim kupcima.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Direktor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BR-13</w:t>
            </w:r>
          </w:p>
        </w:tc>
        <w:tc>
          <w:tcPr>
            <w:tcW w:w="3690" w:type="dxa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Proizvodi koji se prodaju u firmi moraju poštovati zakonske regulative koje se tiču hemijske analize i poštovanja isteka roka trajanja.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Zakonska regulativa;</w:t>
            </w:r>
          </w:p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8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BR-14</w:t>
            </w:r>
          </w:p>
        </w:tc>
        <w:tc>
          <w:tcPr>
            <w:tcW w:w="369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1" w:right="99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Izveštaji koji se generišu na sistemu su isključivo dostupni i vidljivi direktoru. Izveštaji moraju poštovati pravo privatnosti ukoliko su vezani za zaposlene ili kupce.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81" w:right="103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Ograničenje</w:t>
            </w:r>
          </w:p>
        </w:tc>
        <w:tc>
          <w:tcPr>
            <w:tcW w:w="1620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77" w:right="8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Statično</w:t>
            </w:r>
          </w:p>
        </w:tc>
        <w:tc>
          <w:tcPr>
            <w:tcW w:w="1844" w:type="dxa"/>
            <w:shd w:val="clear" w:color="auto" w:fill="F1F1F1" w:themeFill="background1" w:themeFillShade="F2"/>
          </w:tcPr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Zakonska regulativa;</w:t>
            </w:r>
          </w:p>
          <w:p>
            <w:pPr>
              <w:pStyle w:val="11"/>
              <w:spacing w:line="240" w:lineRule="exact"/>
              <w:ind w:left="92" w:right="98"/>
              <w:rPr>
                <w:rFonts w:ascii="Arial" w:hAnsi="Arial" w:cs="Arial"/>
                <w:sz w:val="22"/>
                <w:szCs w:val="22"/>
                <w:lang w:val="sr-Latn-RS"/>
              </w:rPr>
            </w:pPr>
            <w:r>
              <w:rPr>
                <w:rFonts w:ascii="Arial" w:hAnsi="Arial" w:cs="Arial"/>
                <w:sz w:val="22"/>
                <w:szCs w:val="22"/>
                <w:lang w:val="sr-Latn-RS"/>
              </w:rPr>
              <w:t>Poslovna politika</w:t>
            </w:r>
          </w:p>
        </w:tc>
      </w:tr>
    </w:tbl>
    <w:p>
      <w:pPr>
        <w:rPr>
          <w:rFonts w:ascii="Arial" w:hAnsi="Arial" w:cs="Arial"/>
          <w:lang w:val="sr-Latn-RS"/>
        </w:rPr>
      </w:pPr>
    </w:p>
    <w:p>
      <w:pPr>
        <w:rPr>
          <w:rFonts w:ascii="Arial" w:hAnsi="Arial" w:cs="Arial"/>
          <w:lang w:val="sr-Latn-RS"/>
        </w:rPr>
      </w:pPr>
    </w:p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antasqueSansMono Nerd Font">
    <w:panose1 w:val="020B0609020204030204"/>
    <w:charset w:val="00"/>
    <w:family w:val="auto"/>
    <w:pitch w:val="default"/>
    <w:sig w:usb0="800002EF" w:usb1="1000396B" w:usb2="00000010" w:usb3="00000000" w:csb0="0000009F" w:csb1="CF43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b/>
        <w:sz w:val="22"/>
        <w:lang w:val="sr-Latn-RS"/>
      </w:rPr>
      <w:id w:val="-61024992"/>
      <w:docPartObj>
        <w:docPartGallery w:val="autotext"/>
      </w:docPartObj>
    </w:sdtPr>
    <w:sdtEndPr>
      <w:rPr>
        <w:b/>
        <w:sz w:val="22"/>
        <w:lang w:val="sr-Latn-RS"/>
      </w:rPr>
    </w:sdtEndPr>
    <w:sdtContent>
      <w:p>
        <w:pPr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7"/>
          <w:framePr w:wrap="around" w:vAnchor="text" w:hAnchor="margin" w:xAlign="right" w:y="1"/>
          <w:rPr>
            <w:rStyle w:val="9"/>
            <w:lang w:val="sr-Latn-RS"/>
          </w:rPr>
        </w:pPr>
      </w:p>
      <w:p>
        <w:pPr>
          <w:pStyle w:val="7"/>
          <w:ind w:right="360"/>
          <w:rPr>
            <w:lang w:val="sr-Latn-RS"/>
          </w:rPr>
        </w:pPr>
      </w:p>
      <w:p>
        <w:pPr>
          <w:rPr>
            <w:lang w:val="sr-Latn-RS"/>
          </w:rPr>
        </w:pPr>
      </w:p>
      <w:p>
        <w:pPr>
          <w:pStyle w:val="7"/>
          <w:framePr w:wrap="around" w:vAnchor="text" w:hAnchor="margin" w:xAlign="right" w:y="1"/>
          <w:rPr>
            <w:rStyle w:val="9"/>
            <w:rFonts w:ascii="Arial" w:hAnsi="Arial" w:cs="Arial"/>
            <w:i/>
            <w:sz w:val="20"/>
            <w:lang w:val="sr-Latn-RS"/>
          </w:rPr>
        </w:pPr>
        <w:r>
          <w:rPr>
            <w:rStyle w:val="9"/>
            <w:rFonts w:ascii="Arial" w:hAnsi="Arial" w:cs="Arial"/>
            <w:i/>
            <w:sz w:val="20"/>
            <w:lang w:val="sr-Latn-RS"/>
          </w:rPr>
          <w:fldChar w:fldCharType="begin"/>
        </w:r>
        <w:r>
          <w:rPr>
            <w:rStyle w:val="9"/>
            <w:rFonts w:ascii="Arial" w:hAnsi="Arial" w:cs="Arial"/>
            <w:i/>
            <w:sz w:val="20"/>
            <w:lang w:val="sr-Latn-RS"/>
          </w:rPr>
          <w:instrText xml:space="preserve">PAGE  </w:instrText>
        </w:r>
        <w:r>
          <w:rPr>
            <w:rStyle w:val="9"/>
            <w:rFonts w:ascii="Arial" w:hAnsi="Arial" w:cs="Arial"/>
            <w:i/>
            <w:sz w:val="20"/>
            <w:lang w:val="sr-Latn-RS"/>
          </w:rPr>
          <w:fldChar w:fldCharType="separate"/>
        </w:r>
        <w:r>
          <w:rPr>
            <w:rStyle w:val="9"/>
            <w:rFonts w:ascii="Arial" w:hAnsi="Arial" w:cs="Arial"/>
            <w:i/>
            <w:sz w:val="20"/>
            <w:lang w:val="sr-Latn-RS"/>
          </w:rPr>
          <w:t>2</w:t>
        </w:r>
        <w:r>
          <w:rPr>
            <w:rStyle w:val="9"/>
            <w:rFonts w:ascii="Arial" w:hAnsi="Arial" w:cs="Arial"/>
            <w:i/>
            <w:sz w:val="20"/>
            <w:lang w:val="sr-Latn-RS"/>
          </w:rPr>
          <w:fldChar w:fldCharType="end"/>
        </w:r>
      </w:p>
      <w:p>
        <w:pPr>
          <w:pStyle w:val="7"/>
          <w:ind w:right="360"/>
          <w:rPr>
            <w:rFonts w:ascii="Arial" w:hAnsi="Arial" w:cs="Arial"/>
            <w:i/>
            <w:color w:val="800000"/>
            <w:sz w:val="20"/>
            <w:lang w:val="sr-Latn-RS"/>
          </w:rPr>
        </w:pPr>
        <w:r>
          <w:rPr>
            <w:i/>
            <w:sz w:val="20"/>
            <w:lang w:val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-76200</wp:posOffset>
                  </wp:positionV>
                  <wp:extent cx="5943600" cy="0"/>
                  <wp:effectExtent l="0" t="9525" r="0" b="952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19050"/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pt;margin-top:-6pt;height:0pt;width:468pt;z-index:251660288;mso-width-relative:page;mso-height-relative:page;" filled="f" stroked="t" coordsize="21600,21600" o:gfxdata="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EPEuEdcAAAAIAQAADwAAAAAAAAABACAAAAA4AAAAZHJzL2Rvd25yZXYueG1sUEsBAhQA&#10;FAAAAAgAh07iQGOTtXTdAQAAwwMAAA4AAAAAAAAAAQAgAAAAPAEAAGRycy9lMm9Eb2MueG1sUEsF&#10;BgAAAAAGAAYAWQEAAIsFAAAAAA==&#10;">
                  <v:fill on="f" focussize="0,0"/>
                  <v:stroke weight="1.5pt" color="#5B9BD5 [3204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Arial" w:hAnsi="Arial" w:cs="Arial"/>
            <w:i/>
            <w:color w:val="800000"/>
            <w:sz w:val="20"/>
            <w:lang w:val="sr-Latn-RS"/>
          </w:rPr>
          <w:t>Univerzitet Metropolitan                        SE322 Inženjerstvo zahteva</w:t>
        </w:r>
      </w:p>
      <w:p>
        <w:pPr>
          <w:pStyle w:val="7"/>
          <w:jc w:val="center"/>
          <w:rPr>
            <w:lang w:val="sr-Latn-RS"/>
          </w:rPr>
        </w:pPr>
      </w:p>
    </w:sdtContent>
  </w:sdt>
  <w:p>
    <w:pPr>
      <w:pStyle w:val="7"/>
      <w:jc w:val="center"/>
      <w:rPr>
        <w:b w:val="0"/>
        <w:i/>
        <w:sz w:val="20"/>
        <w:lang w:val="sr-Latn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925"/>
        <w:tab w:val="clear" w:pos="4680"/>
        <w:tab w:val="clear" w:pos="9360"/>
      </w:tabs>
      <w:rPr>
        <w:rFonts w:ascii="Arial" w:hAnsi="Arial" w:cs="Arial"/>
        <w:b/>
        <w:i/>
        <w:color w:val="800000"/>
        <w:sz w:val="20"/>
        <w:lang w:val="hr-HR"/>
      </w:rPr>
    </w:pPr>
    <w:r>
      <w:rPr>
        <w:rFonts w:ascii="Arial" w:hAnsi="Arial" w:cs="Arial"/>
        <w:b/>
        <w:i/>
        <w:color w:val="800000"/>
        <w:sz w:val="20"/>
        <w:lang w:val="hr-HR"/>
      </w:rPr>
      <w:t>POSLOVNA PRAVILA</w:t>
    </w:r>
    <w:r>
      <w:rPr>
        <w:rFonts w:ascii="Arial" w:hAnsi="Arial" w:cs="Arial"/>
        <w:b/>
        <w:i/>
        <w:color w:val="800000"/>
        <w:sz w:val="20"/>
        <w:lang w:val="hr-HR"/>
      </w:rPr>
      <w:tab/>
    </w:r>
  </w:p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68580</wp:posOffset>
              </wp:positionV>
              <wp:extent cx="6057900" cy="762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7900" cy="7620"/>
                      </a:xfrm>
                      <a:prstGeom prst="line">
                        <a:avLst/>
                      </a:prstGeom>
                      <a:ln w="190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9pt;margin-top:5.4pt;height:0.6pt;width:477pt;z-index:251659264;mso-width-relative:page;mso-height-relative:page;" filled="f" stroked="t" coordsize="21600,21600" o:gfxdata="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o0MKf9kAAAAJAQAADwAAAAAAAAABACAAAAA4AAAAZHJzL2Rvd25yZXYueG1s&#10;UEsBAhQAFAAAAAgAh07iQN8TRKvhAQAAxgMAAA4AAAAAAAAAAQAgAAAAPgEAAGRycy9lMm9Eb2Mu&#10;eG1sUEsFBgAAAAAGAAYAWQEAAJEFAAAAAA==&#10;">
              <v:fill on="f" focussize="0,0"/>
              <v:stroke weight="1.5pt" color="#5B9BD5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47AFD"/>
    <w:multiLevelType w:val="multilevel"/>
    <w:tmpl w:val="54947AFD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."/>
      <w:lvlJc w:val="left"/>
      <w:pPr>
        <w:tabs>
          <w:tab w:val="left" w:pos="1152"/>
        </w:tabs>
        <w:ind w:left="432" w:firstLine="0"/>
      </w:pPr>
    </w:lvl>
    <w:lvl w:ilvl="2" w:tentative="0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AE94D4"/>
    <w:rsid w:val="BFAE9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exact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1"/>
    <w:next w:val="4"/>
    <w:qFormat/>
    <w:uiPriority w:val="0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hAnsi="Arial"/>
      <w:b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qFormat/>
    <w:uiPriority w:val="0"/>
    <w:pPr>
      <w:tabs>
        <w:tab w:val="center" w:pos="4680"/>
        <w:tab w:val="right" w:pos="9360"/>
      </w:tabs>
    </w:pPr>
    <w:rPr>
      <w:b/>
      <w:sz w:val="22"/>
    </w:rPr>
  </w:style>
  <w:style w:type="paragraph" w:styleId="8">
    <w:name w:val="header"/>
    <w:basedOn w:val="1"/>
    <w:qFormat/>
    <w:uiPriority w:val="0"/>
    <w:pPr>
      <w:tabs>
        <w:tab w:val="center" w:pos="4680"/>
        <w:tab w:val="right" w:pos="9360"/>
      </w:tabs>
    </w:pPr>
    <w:rPr>
      <w:sz w:val="22"/>
    </w:rPr>
  </w:style>
  <w:style w:type="character" w:styleId="9">
    <w:name w:val="page number"/>
    <w:basedOn w:val="5"/>
    <w:qFormat/>
    <w:uiPriority w:val="99"/>
  </w:style>
  <w:style w:type="paragraph" w:customStyle="1" w:styleId="10">
    <w:name w:val="Table Head"/>
    <w:basedOn w:val="3"/>
    <w:next w:val="11"/>
    <w:qFormat/>
    <w:uiPriority w:val="0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11">
    <w:name w:val="Table Text"/>
    <w:basedOn w:val="1"/>
    <w:qFormat/>
    <w:uiPriority w:val="0"/>
    <w:pPr>
      <w:spacing w:before="60" w:after="60" w:line="480" w:lineRule="auto"/>
    </w:pPr>
  </w:style>
  <w:style w:type="table" w:customStyle="1" w:styleId="12">
    <w:name w:val="Plain Table 1"/>
    <w:basedOn w:val="6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2022-01-16T18:11:00Z</dcterms:created>
  <dc:creator>toma</dc:creator>
  <cp:lastModifiedBy>toma</cp:lastModifiedBy>
  <dcterms:modified xsi:type="dcterms:W3CDTF">2022-01-16T18:12:42Z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