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3CD9BBCC"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1"/>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3925ED01" w:rsidR="00587310" w:rsidRDefault="00AA7C39"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205DBD4D">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2"/>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3"/>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4"/>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5"/>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2422A2" w:rsidRDefault="00587310" w:rsidP="002422A2">
      <w:pPr>
        <w:pStyle w:val="Heading1"/>
        <w:rPr>
          <w:b/>
          <w:bCs/>
          <w:color w:val="auto"/>
          <w:sz w:val="24"/>
          <w:szCs w:val="24"/>
        </w:rPr>
      </w:pPr>
      <w:r w:rsidRPr="002422A2">
        <w:rPr>
          <w:b/>
          <w:bCs/>
          <w:color w:val="auto"/>
          <w:sz w:val="24"/>
          <w:szCs w:val="24"/>
        </w:rPr>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w:t>
        </w:r>
        <w:r>
          <w:rPr>
            <w:rStyle w:val="Hyperlink"/>
            <w:rFonts w:ascii="Times New Roman" w:hAnsi="Times New Roman" w:cs="Times New Roman"/>
          </w:rPr>
          <w:t>s</w:t>
        </w:r>
        <w:r>
          <w:rPr>
            <w:rStyle w:val="Hyperlink"/>
            <w:rFonts w:ascii="Times New Roman" w:hAnsi="Times New Roman" w:cs="Times New Roman"/>
          </w:rPr>
          <w:t>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Default="00587310" w:rsidP="00CC70B7">
      <w:pPr>
        <w:pStyle w:val="Heading1"/>
        <w:rPr>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6609F6A0" w14:textId="7185B0F2" w:rsidR="002422A2" w:rsidRPr="002422A2" w:rsidRDefault="002422A2" w:rsidP="002422A2">
      <w:proofErr w:type="spellStart"/>
      <w:r>
        <w:t>Github</w:t>
      </w:r>
      <w:proofErr w:type="spellEnd"/>
      <w:r>
        <w:t xml:space="preserve">: </w:t>
      </w:r>
      <w:hyperlink r:id="rId37" w:history="1">
        <w:r w:rsidRPr="00CC0412">
          <w:rPr>
            <w:rStyle w:val="Hyperlink"/>
          </w:rPr>
          <w:t>https://github.com/tzucker02/dx699_milestone1/blob/main/usanpn%20dataset%20presentation%20for%20dx699%20week%205.pptx</w:t>
        </w:r>
      </w:hyperlink>
      <w: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9"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40"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1"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77777777"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Pr>
          <w:rFonts w:ascii="Times New Roman" w:hAnsi="Times New Roman" w:cs="Times New Roman"/>
        </w:rPr>
        <w:t xml:space="preserve">: </w:t>
      </w:r>
      <w:hyperlink r:id="rId42"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42ADCDF8" w14:textId="4C2503B1" w:rsidR="002422A2" w:rsidRDefault="002422A2" w:rsidP="002422A2">
      <w:pPr>
        <w:pStyle w:val="ListParagraph"/>
        <w:spacing w:line="480" w:lineRule="auto"/>
        <w:rPr>
          <w:rFonts w:ascii="Times New Roman" w:hAnsi="Times New Roman" w:cs="Times New Roman"/>
        </w:rPr>
      </w:pPr>
      <w:r>
        <w:rPr>
          <w:rFonts w:ascii="Times New Roman" w:hAnsi="Times New Roman" w:cs="Times New Roman"/>
        </w:rPr>
        <w:t xml:space="preserve">GitHub: </w:t>
      </w:r>
      <w:hyperlink r:id="rId43" w:history="1">
        <w:r w:rsidRPr="00CC0412">
          <w:rPr>
            <w:rStyle w:val="Hyperlink"/>
            <w:rFonts w:ascii="Times New Roman" w:hAnsi="Times New Roman" w:cs="Times New Roman"/>
          </w:rPr>
          <w:t>https://github.com/tzucker02/dx699_milestone1/blob/main/ModB-week6-Zucker-Scharff%20-%20journal.docx</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0048C" w14:textId="77777777" w:rsidR="00104218" w:rsidRDefault="00104218" w:rsidP="00587310">
      <w:pPr>
        <w:spacing w:after="0" w:line="240" w:lineRule="auto"/>
      </w:pPr>
      <w:r>
        <w:separator/>
      </w:r>
    </w:p>
  </w:endnote>
  <w:endnote w:type="continuationSeparator" w:id="0">
    <w:p w14:paraId="2E1E0DF0" w14:textId="77777777" w:rsidR="00104218" w:rsidRDefault="00104218"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E001E" w14:textId="77777777" w:rsidR="00104218" w:rsidRDefault="00104218" w:rsidP="00587310">
      <w:pPr>
        <w:spacing w:after="0" w:line="240" w:lineRule="auto"/>
      </w:pPr>
      <w:r>
        <w:separator/>
      </w:r>
    </w:p>
  </w:footnote>
  <w:footnote w:type="continuationSeparator" w:id="0">
    <w:p w14:paraId="20CBC330" w14:textId="77777777" w:rsidR="00104218" w:rsidRDefault="00104218" w:rsidP="00587310">
      <w:pPr>
        <w:spacing w:after="0" w:line="240" w:lineRule="auto"/>
      </w:pPr>
      <w:r>
        <w:continuationSeparator/>
      </w:r>
    </w:p>
  </w:footnote>
  <w:footnote w:id="1">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2">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3">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4">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5">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61F399CF" w:rsidR="0048691F" w:rsidRDefault="00000000" w:rsidP="00DF305F">
    <w:pPr>
      <w:pStyle w:val="Header"/>
      <w:jc w:val="right"/>
    </w:pPr>
    <w:r>
      <w:fldChar w:fldCharType="begin"/>
    </w:r>
    <w:r>
      <w:instrText xml:space="preserve"> DATE \@ "M/d/yy h:mm:ss am/pm" </w:instrText>
    </w:r>
    <w:r>
      <w:fldChar w:fldCharType="separate"/>
    </w:r>
    <w:r w:rsidR="002422A2">
      <w:rPr>
        <w:noProof/>
      </w:rPr>
      <w:t>3/8/25 3:02:29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6104B"/>
    <w:rsid w:val="0009089F"/>
    <w:rsid w:val="000C617C"/>
    <w:rsid w:val="00104218"/>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422A2"/>
    <w:rsid w:val="0025744B"/>
    <w:rsid w:val="0025799B"/>
    <w:rsid w:val="002B5328"/>
    <w:rsid w:val="002E422C"/>
    <w:rsid w:val="002F3948"/>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102B3"/>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0F0A"/>
    <w:rsid w:val="009F4CBF"/>
    <w:rsid w:val="00A4298D"/>
    <w:rsid w:val="00A83137"/>
    <w:rsid w:val="00A856A9"/>
    <w:rsid w:val="00A968A9"/>
    <w:rsid w:val="00AA7C39"/>
    <w:rsid w:val="00AB2E7A"/>
    <w:rsid w:val="00B55268"/>
    <w:rsid w:val="00B63DA2"/>
    <w:rsid w:val="00B723BA"/>
    <w:rsid w:val="00B82D58"/>
    <w:rsid w:val="00B875C5"/>
    <w:rsid w:val="00B97463"/>
    <w:rsid w:val="00BA5001"/>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THL0NDWnM_tc-huOccDp8SLKsppyCZL/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yperlink" Target="https://docs.google.com/document/d/16L732eWlPXcMvudJe7gZuIswh3unxha5/edit?usp=drive_link&amp;ouid=103523606972182441044&amp;rtpof=true&amp;sd=true"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github.com/tzucker02/dx699_milestone1/blob/main/usanpn%20dataset%20presentation%20for%20dx699%20week%205.pptx" TargetMode="External"/><Relationship Id="rId40" Type="http://schemas.openxmlformats.org/officeDocument/2006/relationships/hyperlink" Target="https://docs.google.com/document/d/16P7PkxIb5hf_b13OdnNiTW51ic_DU_mX/edit?usp=drive_link&amp;ouid=103523606972182441044&amp;rtpof=true&amp;sd=true"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49" Type="http://schemas.openxmlformats.org/officeDocument/2006/relationships/theme" Target="theme/theme1.xm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yperlink" Target="https://github.com/tzucker02/dx699_milestone1/blob/main/ModB-week6-Zucker-Scharff%20-%20journal.docx" TargetMode="External"/><Relationship Id="rId48" Type="http://schemas.openxmlformats.org/officeDocument/2006/relationships/fontTable" Target="fontTable.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W24TnxLvppP3OI3oE-OPnQlWCUWLeWH/edit?usp=drive_link&amp;ouid=103523606972182441044&amp;rtpof=true&amp;sd=true" TargetMode="External"/><Relationship Id="rId46" Type="http://schemas.openxmlformats.org/officeDocument/2006/relationships/footer" Target="footer1.xml"/><Relationship Id="rId20" Type="http://schemas.openxmlformats.org/officeDocument/2006/relationships/hyperlink" Target="#HC_Zips_dataset_Appendix2"/><Relationship Id="rId41" Type="http://schemas.openxmlformats.org/officeDocument/2006/relationships/hyperlink" Target="https://docs.google.com/document/d/16ERcfNPi5Rjo46cx4u8Pw5ve1EAqVqlw/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3</cp:revision>
  <dcterms:created xsi:type="dcterms:W3CDTF">2025-03-08T17:24:00Z</dcterms:created>
  <dcterms:modified xsi:type="dcterms:W3CDTF">2025-03-08T20:06:00Z</dcterms:modified>
</cp:coreProperties>
</file>