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56FDD" w14:textId="707167BF" w:rsidR="00D716B3" w:rsidRDefault="00D716B3" w:rsidP="00B609B6">
      <w:pPr>
        <w:rPr>
          <w:b/>
        </w:rPr>
      </w:pPr>
      <w:r>
        <w:rPr>
          <w:b/>
        </w:rPr>
        <w:t xml:space="preserve">Enablix Proposal </w:t>
      </w:r>
      <w:r w:rsidR="007C1104">
        <w:rPr>
          <w:b/>
        </w:rPr>
        <w:t xml:space="preserve">for </w:t>
      </w:r>
      <w:proofErr w:type="spellStart"/>
      <w:r w:rsidR="007C1104">
        <w:rPr>
          <w:b/>
        </w:rPr>
        <w:t>Forrita</w:t>
      </w:r>
      <w:proofErr w:type="spellEnd"/>
      <w:r w:rsidR="007C1104">
        <w:rPr>
          <w:b/>
        </w:rPr>
        <w:t xml:space="preserve"> </w:t>
      </w:r>
      <w:proofErr w:type="spellStart"/>
      <w:r w:rsidR="007C1104">
        <w:rPr>
          <w:b/>
        </w:rPr>
        <w:t>Inc</w:t>
      </w:r>
      <w:proofErr w:type="spellEnd"/>
    </w:p>
    <w:p w14:paraId="3341341F" w14:textId="77777777" w:rsidR="00D716B3" w:rsidRDefault="00D716B3" w:rsidP="00B609B6">
      <w:pPr>
        <w:rPr>
          <w:b/>
        </w:rPr>
      </w:pPr>
    </w:p>
    <w:p w14:paraId="2CC561D1" w14:textId="77777777" w:rsidR="0074524F" w:rsidRPr="00B609B6" w:rsidRDefault="004452DB" w:rsidP="00B609B6">
      <w:pPr>
        <w:rPr>
          <w:b/>
        </w:rPr>
      </w:pPr>
      <w:r w:rsidRPr="00B609B6">
        <w:rPr>
          <w:b/>
        </w:rPr>
        <w:t>About Enablix</w:t>
      </w:r>
    </w:p>
    <w:p w14:paraId="60ADD7A3" w14:textId="638655D8" w:rsidR="00D716B3" w:rsidRDefault="004452DB" w:rsidP="004452DB">
      <w:r>
        <w:t xml:space="preserve">Enablix is </w:t>
      </w:r>
      <w:r w:rsidR="007C1104">
        <w:t xml:space="preserve">a knowledge management and </w:t>
      </w:r>
      <w:r w:rsidR="008B28C5">
        <w:t xml:space="preserve">sales enablement </w:t>
      </w:r>
      <w:r>
        <w:t xml:space="preserve">platform that </w:t>
      </w:r>
      <w:r w:rsidR="00D716B3">
        <w:t xml:space="preserve">helps marketing teams: </w:t>
      </w:r>
    </w:p>
    <w:p w14:paraId="2B64CD5A" w14:textId="77777777" w:rsidR="00D716B3" w:rsidRDefault="00D716B3" w:rsidP="004452DB"/>
    <w:p w14:paraId="4A56CA93" w14:textId="1AE2D5C9" w:rsidR="00D716B3" w:rsidRDefault="00D716B3" w:rsidP="00D716B3">
      <w:pPr>
        <w:pStyle w:val="ListParagraph"/>
        <w:numPr>
          <w:ilvl w:val="0"/>
          <w:numId w:val="3"/>
        </w:numPr>
      </w:pPr>
      <w:r>
        <w:t>Capture and organize sales content in an easy to use sales and marketing portal</w:t>
      </w:r>
    </w:p>
    <w:p w14:paraId="6B2DD726" w14:textId="43FCB81F" w:rsidR="00D716B3" w:rsidRDefault="00D716B3" w:rsidP="00D716B3">
      <w:pPr>
        <w:pStyle w:val="ListParagraph"/>
        <w:numPr>
          <w:ilvl w:val="0"/>
          <w:numId w:val="3"/>
        </w:numPr>
      </w:pPr>
      <w:r>
        <w:t>Automate content recommendations to sales teams</w:t>
      </w:r>
    </w:p>
    <w:p w14:paraId="1D0E2DB8" w14:textId="4F4F342E" w:rsidR="00D716B3" w:rsidRDefault="00D716B3" w:rsidP="00D716B3">
      <w:pPr>
        <w:pStyle w:val="ListParagraph"/>
        <w:numPr>
          <w:ilvl w:val="0"/>
          <w:numId w:val="3"/>
        </w:numPr>
      </w:pPr>
      <w:r>
        <w:t>Push relevant and targete</w:t>
      </w:r>
      <w:r w:rsidR="0071438D">
        <w:t>d content to sales teams inside</w:t>
      </w:r>
      <w:r>
        <w:t xml:space="preserve"> CRM tools</w:t>
      </w:r>
    </w:p>
    <w:p w14:paraId="5526BE13" w14:textId="77777777" w:rsidR="00D716B3" w:rsidRDefault="00D716B3" w:rsidP="004452DB"/>
    <w:p w14:paraId="45289027" w14:textId="0A3316F7" w:rsidR="004452DB" w:rsidRDefault="008F703F" w:rsidP="004452DB">
      <w:r>
        <w:t xml:space="preserve">Enablix offers </w:t>
      </w:r>
      <w:r w:rsidR="000E30E6">
        <w:t>its</w:t>
      </w:r>
      <w:r>
        <w:t xml:space="preserve"> customers a comprehensive functionality to map </w:t>
      </w:r>
      <w:r w:rsidR="0011354C">
        <w:t xml:space="preserve">to </w:t>
      </w:r>
      <w:r>
        <w:t xml:space="preserve">content across the organization and define recommendation processes in </w:t>
      </w:r>
      <w:r w:rsidR="00F26A74">
        <w:t xml:space="preserve">the </w:t>
      </w:r>
      <w:r>
        <w:t xml:space="preserve">context of sales opportunities and campaigns. </w:t>
      </w:r>
    </w:p>
    <w:p w14:paraId="093568C3" w14:textId="77777777" w:rsidR="00B609B6" w:rsidRDefault="00B609B6" w:rsidP="004452DB"/>
    <w:p w14:paraId="402F0E72" w14:textId="7000F27D" w:rsidR="004452DB" w:rsidRPr="00B609B6" w:rsidRDefault="00D716B3" w:rsidP="00B609B6">
      <w:pPr>
        <w:rPr>
          <w:b/>
        </w:rPr>
      </w:pPr>
      <w:r>
        <w:rPr>
          <w:b/>
        </w:rPr>
        <w:t xml:space="preserve">Enablix for </w:t>
      </w:r>
      <w:proofErr w:type="spellStart"/>
      <w:r w:rsidR="007C1104">
        <w:rPr>
          <w:b/>
        </w:rPr>
        <w:t>Forrita</w:t>
      </w:r>
      <w:proofErr w:type="spellEnd"/>
      <w:r w:rsidR="007C1104">
        <w:rPr>
          <w:b/>
        </w:rPr>
        <w:t xml:space="preserve"> </w:t>
      </w:r>
      <w:proofErr w:type="spellStart"/>
      <w:r w:rsidR="007C1104">
        <w:rPr>
          <w:b/>
        </w:rPr>
        <w:t>Inc</w:t>
      </w:r>
      <w:proofErr w:type="spellEnd"/>
      <w:r>
        <w:rPr>
          <w:b/>
        </w:rPr>
        <w:t>: Proposal</w:t>
      </w:r>
    </w:p>
    <w:p w14:paraId="30192C7E" w14:textId="5A9383DA" w:rsidR="0071438D" w:rsidRDefault="00D716B3" w:rsidP="004452DB">
      <w:r>
        <w:t xml:space="preserve">Thank you for the opportunity to work with </w:t>
      </w:r>
      <w:proofErr w:type="spellStart"/>
      <w:r w:rsidR="007C1104">
        <w:t>Forrita</w:t>
      </w:r>
      <w:proofErr w:type="spellEnd"/>
      <w:r w:rsidR="007C1104">
        <w:t xml:space="preserve"> Inc</w:t>
      </w:r>
      <w:r>
        <w:t>. This proposal discusses</w:t>
      </w:r>
      <w:r w:rsidR="0071438D">
        <w:t xml:space="preserve"> the terms for the different phases of the deployment: </w:t>
      </w:r>
    </w:p>
    <w:p w14:paraId="3C92766F" w14:textId="1DD42296" w:rsidR="00D716B3" w:rsidRDefault="0071438D" w:rsidP="0071438D">
      <w:pPr>
        <w:pStyle w:val="ListParagraph"/>
        <w:numPr>
          <w:ilvl w:val="0"/>
          <w:numId w:val="4"/>
        </w:numPr>
      </w:pPr>
      <w:r>
        <w:t xml:space="preserve">Phase 1: A </w:t>
      </w:r>
      <w:r w:rsidR="00F26A74">
        <w:t>6-month</w:t>
      </w:r>
      <w:r>
        <w:t xml:space="preserve"> deployment of Enablix platform for </w:t>
      </w:r>
      <w:proofErr w:type="spellStart"/>
      <w:r w:rsidR="007C1104">
        <w:t>Forrita’s</w:t>
      </w:r>
      <w:proofErr w:type="spellEnd"/>
      <w:r w:rsidR="007C1104">
        <w:t xml:space="preserve"> </w:t>
      </w:r>
      <w:r>
        <w:t xml:space="preserve">sales and marketing team. </w:t>
      </w:r>
    </w:p>
    <w:p w14:paraId="6FE9E5AB" w14:textId="19976101" w:rsidR="00D716B3" w:rsidRDefault="0071438D" w:rsidP="00D716B3">
      <w:pPr>
        <w:pStyle w:val="ListParagraph"/>
        <w:numPr>
          <w:ilvl w:val="0"/>
          <w:numId w:val="4"/>
        </w:numPr>
      </w:pPr>
      <w:r>
        <w:t xml:space="preserve">Phase 2: This phase covers the next 6 months after phase 1 is completed and if </w:t>
      </w:r>
      <w:proofErr w:type="spellStart"/>
      <w:r w:rsidR="007C1104">
        <w:t>Forrita</w:t>
      </w:r>
      <w:proofErr w:type="spellEnd"/>
      <w:r w:rsidR="007C1104">
        <w:t xml:space="preserve"> Inc. </w:t>
      </w:r>
      <w:r>
        <w:t xml:space="preserve">wishes to continue to use Enablix platform. </w:t>
      </w:r>
    </w:p>
    <w:p w14:paraId="091BF872" w14:textId="141DDE65" w:rsidR="00EC5E18" w:rsidRDefault="0071438D" w:rsidP="00D716B3">
      <w:pPr>
        <w:pStyle w:val="ListParagraph"/>
        <w:numPr>
          <w:ilvl w:val="0"/>
          <w:numId w:val="4"/>
        </w:numPr>
      </w:pPr>
      <w:r>
        <w:t xml:space="preserve">Phase 3: This phase includes supporting content delivery and content access inside Salesforce CRM application for the </w:t>
      </w:r>
      <w:proofErr w:type="spellStart"/>
      <w:r w:rsidR="007C1104">
        <w:t>Forrita</w:t>
      </w:r>
      <w:proofErr w:type="spellEnd"/>
      <w:r w:rsidR="007C1104">
        <w:t xml:space="preserve"> </w:t>
      </w:r>
      <w:r>
        <w:t xml:space="preserve">Sales team. </w:t>
      </w:r>
      <w:r w:rsidR="00EC5E18">
        <w:t xml:space="preserve"> </w:t>
      </w:r>
    </w:p>
    <w:p w14:paraId="6100B716" w14:textId="77777777" w:rsidR="00B609B6" w:rsidRDefault="00B609B6" w:rsidP="00B609B6">
      <w:pPr>
        <w:rPr>
          <w:b/>
        </w:rPr>
      </w:pPr>
    </w:p>
    <w:p w14:paraId="527BB827" w14:textId="77777777" w:rsidR="008C5B9B" w:rsidRPr="00B609B6" w:rsidRDefault="008C5B9B" w:rsidP="00B609B6">
      <w:pPr>
        <w:rPr>
          <w:b/>
        </w:rPr>
      </w:pPr>
      <w:r w:rsidRPr="00B609B6">
        <w:rPr>
          <w:b/>
        </w:rPr>
        <w:t>Terms</w:t>
      </w:r>
    </w:p>
    <w:p w14:paraId="6F548B81" w14:textId="5782A810" w:rsidR="008C5B9B" w:rsidRDefault="00EC5E18" w:rsidP="008C5B9B">
      <w:r>
        <w:t xml:space="preserve">The following terms and conditions are applicable to the </w:t>
      </w:r>
      <w:r w:rsidR="0071438D">
        <w:t>Phase 1 and Phase 2 deployments of the project</w:t>
      </w:r>
      <w:r>
        <w:t xml:space="preserve">: </w:t>
      </w:r>
    </w:p>
    <w:p w14:paraId="1978BDD1" w14:textId="13D3E6B0" w:rsidR="008C5B9B" w:rsidRDefault="00EC5E18" w:rsidP="008C5B9B">
      <w:pPr>
        <w:pStyle w:val="ListParagraph"/>
        <w:numPr>
          <w:ilvl w:val="0"/>
          <w:numId w:val="2"/>
        </w:numPr>
      </w:pPr>
      <w:r>
        <w:t xml:space="preserve">Enablix will </w:t>
      </w:r>
      <w:r w:rsidR="00492101">
        <w:t xml:space="preserve">integrate with </w:t>
      </w:r>
      <w:proofErr w:type="spellStart"/>
      <w:r w:rsidR="007C1104">
        <w:t>Forrita</w:t>
      </w:r>
      <w:r w:rsidR="0071438D">
        <w:t>’s</w:t>
      </w:r>
      <w:proofErr w:type="spellEnd"/>
      <w:r w:rsidR="0071438D">
        <w:t xml:space="preserve"> </w:t>
      </w:r>
      <w:proofErr w:type="spellStart"/>
      <w:r w:rsidR="00492101">
        <w:t>Sharepoint</w:t>
      </w:r>
      <w:proofErr w:type="spellEnd"/>
      <w:r w:rsidR="00492101">
        <w:t xml:space="preserve"> 365 instance so that all the content files will be saved on </w:t>
      </w:r>
      <w:proofErr w:type="spellStart"/>
      <w:r w:rsidR="00492101">
        <w:t>Sharepoint</w:t>
      </w:r>
      <w:proofErr w:type="spellEnd"/>
      <w:r w:rsidR="00492101">
        <w:t xml:space="preserve"> 365. </w:t>
      </w:r>
    </w:p>
    <w:p w14:paraId="7AF0F513" w14:textId="62C9A01B" w:rsidR="00492101" w:rsidRDefault="00492101" w:rsidP="008C5B9B">
      <w:pPr>
        <w:pStyle w:val="ListParagraph"/>
        <w:numPr>
          <w:ilvl w:val="0"/>
          <w:numId w:val="2"/>
        </w:numPr>
      </w:pPr>
      <w:r>
        <w:t xml:space="preserve">Enablix team will offer services to </w:t>
      </w:r>
      <w:proofErr w:type="spellStart"/>
      <w:r w:rsidR="007C1104">
        <w:t>Forrita</w:t>
      </w:r>
      <w:proofErr w:type="spellEnd"/>
      <w:r w:rsidR="007C1104">
        <w:t xml:space="preserve"> </w:t>
      </w:r>
      <w:r>
        <w:t xml:space="preserve">for: </w:t>
      </w:r>
    </w:p>
    <w:p w14:paraId="75D64676" w14:textId="6237C425" w:rsidR="00492101" w:rsidRDefault="00492101" w:rsidP="00492101">
      <w:pPr>
        <w:pStyle w:val="ListParagraph"/>
        <w:numPr>
          <w:ilvl w:val="1"/>
          <w:numId w:val="2"/>
        </w:numPr>
      </w:pPr>
      <w:r>
        <w:t xml:space="preserve">Initial set up of the system </w:t>
      </w:r>
    </w:p>
    <w:p w14:paraId="106C9FE1" w14:textId="3E8B4AF4" w:rsidR="00492101" w:rsidRDefault="00492101" w:rsidP="00492101">
      <w:pPr>
        <w:pStyle w:val="ListParagraph"/>
        <w:numPr>
          <w:ilvl w:val="1"/>
          <w:numId w:val="2"/>
        </w:numPr>
      </w:pPr>
      <w:r>
        <w:t>Transition</w:t>
      </w:r>
      <w:r w:rsidR="00296E91">
        <w:t>ing</w:t>
      </w:r>
      <w:r>
        <w:t xml:space="preserve"> all the existing collateral of </w:t>
      </w:r>
      <w:proofErr w:type="spellStart"/>
      <w:r w:rsidR="004D3C22">
        <w:t>Forrita</w:t>
      </w:r>
      <w:proofErr w:type="spellEnd"/>
      <w:r w:rsidR="0071438D">
        <w:t xml:space="preserve"> </w:t>
      </w:r>
      <w:r>
        <w:t xml:space="preserve">to the Enablix platform. </w:t>
      </w:r>
    </w:p>
    <w:p w14:paraId="675738DC" w14:textId="7558842F" w:rsidR="00492101" w:rsidRDefault="00492101" w:rsidP="00492101">
      <w:pPr>
        <w:pStyle w:val="ListParagraph"/>
        <w:numPr>
          <w:ilvl w:val="1"/>
          <w:numId w:val="2"/>
        </w:numPr>
      </w:pPr>
      <w:r>
        <w:t xml:space="preserve">Train </w:t>
      </w:r>
      <w:proofErr w:type="spellStart"/>
      <w:r w:rsidR="004D3C22">
        <w:t>Forrita</w:t>
      </w:r>
      <w:proofErr w:type="spellEnd"/>
      <w:r w:rsidR="004D3C22">
        <w:t xml:space="preserve"> </w:t>
      </w:r>
      <w:r>
        <w:t xml:space="preserve">marketing team with managing content and information on the system. </w:t>
      </w:r>
    </w:p>
    <w:p w14:paraId="2C8DBC6E" w14:textId="63625F2A" w:rsidR="00492101" w:rsidRDefault="00492101" w:rsidP="00492101">
      <w:pPr>
        <w:pStyle w:val="ListParagraph"/>
        <w:numPr>
          <w:ilvl w:val="1"/>
          <w:numId w:val="2"/>
        </w:numPr>
      </w:pPr>
      <w:r>
        <w:t xml:space="preserve">Onboard the </w:t>
      </w:r>
      <w:proofErr w:type="spellStart"/>
      <w:r w:rsidR="004D3C22">
        <w:t>Forrita</w:t>
      </w:r>
      <w:proofErr w:type="spellEnd"/>
      <w:r w:rsidR="004D3C22">
        <w:t xml:space="preserve"> </w:t>
      </w:r>
      <w:r>
        <w:t>sales &amp; marketing team on the system</w:t>
      </w:r>
    </w:p>
    <w:p w14:paraId="28478170" w14:textId="5791D01D" w:rsidR="008C5B9B" w:rsidRDefault="00EC5E18" w:rsidP="008C5B9B">
      <w:pPr>
        <w:pStyle w:val="ListParagraph"/>
        <w:numPr>
          <w:ilvl w:val="0"/>
          <w:numId w:val="2"/>
        </w:numPr>
      </w:pPr>
      <w:r>
        <w:t xml:space="preserve">Enablix will offer </w:t>
      </w:r>
      <w:r w:rsidR="00492101">
        <w:t xml:space="preserve">the above </w:t>
      </w:r>
      <w:r>
        <w:t xml:space="preserve">services </w:t>
      </w:r>
      <w:r w:rsidR="0071438D">
        <w:t xml:space="preserve">virtually </w:t>
      </w:r>
      <w:r w:rsidR="00E06E69">
        <w:t>from</w:t>
      </w:r>
      <w:r w:rsidR="0071438D">
        <w:t xml:space="preserve"> their offices in </w:t>
      </w:r>
      <w:r w:rsidR="004D3C22">
        <w:t>Northern</w:t>
      </w:r>
      <w:r w:rsidR="0071438D">
        <w:t xml:space="preserve"> </w:t>
      </w:r>
      <w:r w:rsidR="00F26A74">
        <w:t>Virginia</w:t>
      </w:r>
      <w:r w:rsidR="00296E91">
        <w:t xml:space="preserve">. </w:t>
      </w:r>
    </w:p>
    <w:p w14:paraId="630E48DD" w14:textId="272945AC" w:rsidR="00AB04E5" w:rsidRDefault="0071438D" w:rsidP="008C5B9B">
      <w:pPr>
        <w:pStyle w:val="ListParagraph"/>
        <w:numPr>
          <w:ilvl w:val="0"/>
          <w:numId w:val="2"/>
        </w:numPr>
      </w:pPr>
      <w:r>
        <w:t xml:space="preserve">Enablix will not charge any professional services fee for any setup and training activities involved with the phase 1 and phase 2 stages of the project. </w:t>
      </w:r>
    </w:p>
    <w:p w14:paraId="3F39E26C" w14:textId="495F292C" w:rsidR="0071438D" w:rsidRDefault="0071438D" w:rsidP="008C5B9B">
      <w:pPr>
        <w:pStyle w:val="ListParagraph"/>
        <w:numPr>
          <w:ilvl w:val="0"/>
          <w:numId w:val="2"/>
        </w:numPr>
      </w:pPr>
      <w:r>
        <w:t xml:space="preserve">Enablix will also offer consultative services limited to the management of content on Enablix platform to </w:t>
      </w:r>
      <w:proofErr w:type="spellStart"/>
      <w:r w:rsidR="004D3C22">
        <w:t>Forrita</w:t>
      </w:r>
      <w:proofErr w:type="spellEnd"/>
      <w:r w:rsidR="004D3C22">
        <w:t xml:space="preserve"> </w:t>
      </w:r>
      <w:r>
        <w:t xml:space="preserve">marketing team if </w:t>
      </w:r>
      <w:proofErr w:type="spellStart"/>
      <w:r w:rsidR="004D3C22">
        <w:t>Forrita</w:t>
      </w:r>
      <w:proofErr w:type="spellEnd"/>
      <w:r>
        <w:t xml:space="preserve"> wishes to take advantage of this offering. As part of this engagement, Enablix will </w:t>
      </w:r>
      <w:r>
        <w:lastRenderedPageBreak/>
        <w:t xml:space="preserve">become an extended arm of the </w:t>
      </w:r>
      <w:proofErr w:type="spellStart"/>
      <w:r w:rsidR="004D3C22">
        <w:t>Forrita</w:t>
      </w:r>
      <w:proofErr w:type="spellEnd"/>
      <w:r w:rsidR="004D3C22">
        <w:t xml:space="preserve"> </w:t>
      </w:r>
      <w:r>
        <w:t xml:space="preserve">marketing team and offer assistance to set up and maintain the Enablix instance for </w:t>
      </w:r>
      <w:proofErr w:type="spellStart"/>
      <w:r w:rsidR="004D3C22">
        <w:t>Forrita</w:t>
      </w:r>
      <w:proofErr w:type="spellEnd"/>
      <w:r>
        <w:t xml:space="preserve"> marketing team. </w:t>
      </w:r>
    </w:p>
    <w:p w14:paraId="712BA846" w14:textId="77777777" w:rsidR="00EC5E18" w:rsidRDefault="00EC5E18" w:rsidP="00EC5E18">
      <w:pPr>
        <w:pStyle w:val="ListParagraph"/>
      </w:pPr>
    </w:p>
    <w:p w14:paraId="01EB0B65" w14:textId="02BD4AEB" w:rsidR="0071261A" w:rsidRDefault="001F2E63" w:rsidP="0071261A">
      <w:r>
        <w:t xml:space="preserve">You can find additional terms by going to </w:t>
      </w:r>
      <w:hyperlink r:id="rId6" w:history="1">
        <w:r w:rsidRPr="007D065B">
          <w:rPr>
            <w:rStyle w:val="Hyperlink"/>
          </w:rPr>
          <w:t>https://www.enablix.com/terms</w:t>
        </w:r>
      </w:hyperlink>
      <w:r>
        <w:t xml:space="preserve">  </w:t>
      </w:r>
    </w:p>
    <w:p w14:paraId="32EFBF10" w14:textId="10878B44" w:rsidR="001F2E63" w:rsidRPr="004D5062" w:rsidRDefault="001F2E63" w:rsidP="009112E5">
      <w:r>
        <w:t xml:space="preserve">You can find our privacy policy by going to </w:t>
      </w:r>
      <w:hyperlink r:id="rId7" w:history="1">
        <w:r w:rsidRPr="007D065B">
          <w:rPr>
            <w:rStyle w:val="Hyperlink"/>
          </w:rPr>
          <w:t>https://www.enablix.com/privacy</w:t>
        </w:r>
      </w:hyperlink>
    </w:p>
    <w:p w14:paraId="32818A4E" w14:textId="77777777" w:rsidR="001F2E63" w:rsidRDefault="001F2E63" w:rsidP="009112E5">
      <w:pPr>
        <w:rPr>
          <w:b/>
        </w:rPr>
      </w:pPr>
    </w:p>
    <w:p w14:paraId="5CC4CAF3" w14:textId="63A58B43" w:rsidR="0071261A" w:rsidRPr="009112E5" w:rsidRDefault="0071438D" w:rsidP="009112E5">
      <w:pPr>
        <w:rPr>
          <w:b/>
        </w:rPr>
      </w:pPr>
      <w:r>
        <w:rPr>
          <w:b/>
        </w:rPr>
        <w:t>Enterprise</w:t>
      </w:r>
      <w:r w:rsidR="004D5062">
        <w:rPr>
          <w:b/>
        </w:rPr>
        <w:t xml:space="preserve"> </w:t>
      </w:r>
      <w:r w:rsidR="0071261A" w:rsidRPr="009112E5">
        <w:rPr>
          <w:b/>
        </w:rPr>
        <w:t>Pricing</w:t>
      </w:r>
    </w:p>
    <w:p w14:paraId="04AAB34F" w14:textId="77777777" w:rsidR="0071261A" w:rsidRPr="0071261A" w:rsidRDefault="0071261A" w:rsidP="0071261A"/>
    <w:tbl>
      <w:tblPr>
        <w:tblStyle w:val="TableGrid"/>
        <w:tblW w:w="885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95"/>
        <w:gridCol w:w="990"/>
        <w:gridCol w:w="1170"/>
        <w:gridCol w:w="1080"/>
        <w:gridCol w:w="1350"/>
        <w:gridCol w:w="1271"/>
      </w:tblGrid>
      <w:tr w:rsidR="0071438D" w14:paraId="7BD289B5" w14:textId="77777777" w:rsidTr="0071438D">
        <w:tc>
          <w:tcPr>
            <w:tcW w:w="2995" w:type="dxa"/>
            <w:vAlign w:val="center"/>
          </w:tcPr>
          <w:p w14:paraId="23AD87D0" w14:textId="77777777" w:rsidR="0071438D" w:rsidRPr="0071261A" w:rsidRDefault="0071438D" w:rsidP="0071438D">
            <w:pPr>
              <w:jc w:val="center"/>
              <w:rPr>
                <w:sz w:val="20"/>
                <w:szCs w:val="20"/>
              </w:rPr>
            </w:pPr>
            <w:r w:rsidRPr="0071261A">
              <w:rPr>
                <w:sz w:val="20"/>
                <w:szCs w:val="20"/>
              </w:rPr>
              <w:t>Product Title</w:t>
            </w:r>
          </w:p>
        </w:tc>
        <w:tc>
          <w:tcPr>
            <w:tcW w:w="990" w:type="dxa"/>
            <w:vAlign w:val="center"/>
          </w:tcPr>
          <w:p w14:paraId="533FED2F" w14:textId="77777777" w:rsidR="0071438D" w:rsidRPr="0071261A" w:rsidRDefault="0071438D" w:rsidP="0071438D">
            <w:pPr>
              <w:jc w:val="center"/>
              <w:rPr>
                <w:sz w:val="20"/>
                <w:szCs w:val="20"/>
              </w:rPr>
            </w:pPr>
            <w:r w:rsidRPr="0071261A">
              <w:rPr>
                <w:sz w:val="20"/>
                <w:szCs w:val="20"/>
              </w:rPr>
              <w:t>Unit</w:t>
            </w:r>
          </w:p>
        </w:tc>
        <w:tc>
          <w:tcPr>
            <w:tcW w:w="1170" w:type="dxa"/>
            <w:vAlign w:val="center"/>
          </w:tcPr>
          <w:p w14:paraId="567B0DDF" w14:textId="6ABD64EF" w:rsidR="0071438D" w:rsidRPr="0071261A" w:rsidRDefault="0071438D" w:rsidP="007143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Count</w:t>
            </w:r>
          </w:p>
        </w:tc>
        <w:tc>
          <w:tcPr>
            <w:tcW w:w="1080" w:type="dxa"/>
            <w:vAlign w:val="center"/>
          </w:tcPr>
          <w:p w14:paraId="49D01022" w14:textId="3D881A1F" w:rsidR="0071438D" w:rsidRPr="0071261A" w:rsidRDefault="0071438D" w:rsidP="007143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Period</w:t>
            </w:r>
          </w:p>
        </w:tc>
        <w:tc>
          <w:tcPr>
            <w:tcW w:w="1350" w:type="dxa"/>
            <w:vAlign w:val="center"/>
          </w:tcPr>
          <w:p w14:paraId="4E07C650" w14:textId="32C05893" w:rsidR="0071438D" w:rsidRPr="0071261A" w:rsidRDefault="0071438D" w:rsidP="007143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Per Unit</w:t>
            </w:r>
          </w:p>
        </w:tc>
        <w:tc>
          <w:tcPr>
            <w:tcW w:w="1271" w:type="dxa"/>
            <w:vAlign w:val="center"/>
          </w:tcPr>
          <w:p w14:paraId="5CF9F255" w14:textId="0F125AA6" w:rsidR="0071438D" w:rsidRPr="0071261A" w:rsidRDefault="0071438D" w:rsidP="0071438D">
            <w:pPr>
              <w:jc w:val="center"/>
              <w:rPr>
                <w:sz w:val="20"/>
                <w:szCs w:val="20"/>
              </w:rPr>
            </w:pPr>
            <w:r w:rsidRPr="0071261A">
              <w:rPr>
                <w:sz w:val="20"/>
                <w:szCs w:val="20"/>
              </w:rPr>
              <w:t xml:space="preserve">Final </w:t>
            </w:r>
            <w:r>
              <w:rPr>
                <w:sz w:val="20"/>
                <w:szCs w:val="20"/>
              </w:rPr>
              <w:t xml:space="preserve">Term </w:t>
            </w:r>
            <w:r w:rsidRPr="0071261A">
              <w:rPr>
                <w:sz w:val="20"/>
                <w:szCs w:val="20"/>
              </w:rPr>
              <w:t>Price</w:t>
            </w:r>
          </w:p>
        </w:tc>
      </w:tr>
      <w:tr w:rsidR="0071438D" w14:paraId="57028065" w14:textId="77777777" w:rsidTr="0071438D">
        <w:tc>
          <w:tcPr>
            <w:tcW w:w="2995" w:type="dxa"/>
          </w:tcPr>
          <w:p w14:paraId="56F9D4FF" w14:textId="663F3660" w:rsidR="0071438D" w:rsidRPr="0071261A" w:rsidRDefault="0071438D" w:rsidP="0071261A">
            <w:pPr>
              <w:rPr>
                <w:sz w:val="20"/>
                <w:szCs w:val="20"/>
              </w:rPr>
            </w:pPr>
            <w:r w:rsidRPr="0071261A">
              <w:rPr>
                <w:sz w:val="20"/>
                <w:szCs w:val="20"/>
              </w:rPr>
              <w:t>Enablix Sales Knowledge Management Platform</w:t>
            </w:r>
            <w:r>
              <w:rPr>
                <w:sz w:val="20"/>
                <w:szCs w:val="20"/>
              </w:rPr>
              <w:t xml:space="preserve"> – Phase 1</w:t>
            </w:r>
          </w:p>
        </w:tc>
        <w:tc>
          <w:tcPr>
            <w:tcW w:w="990" w:type="dxa"/>
            <w:vAlign w:val="center"/>
          </w:tcPr>
          <w:p w14:paraId="496D185F" w14:textId="5DEB60AF" w:rsidR="0071438D" w:rsidRPr="0071261A" w:rsidRDefault="0071438D" w:rsidP="007126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Tier</w:t>
            </w:r>
          </w:p>
        </w:tc>
        <w:tc>
          <w:tcPr>
            <w:tcW w:w="1170" w:type="dxa"/>
            <w:vAlign w:val="center"/>
          </w:tcPr>
          <w:p w14:paraId="794CD744" w14:textId="5BAED3A8" w:rsidR="0071438D" w:rsidRPr="0071261A" w:rsidRDefault="0071438D" w:rsidP="004D3C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D3C22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 xml:space="preserve"> Users</w:t>
            </w:r>
          </w:p>
        </w:tc>
        <w:tc>
          <w:tcPr>
            <w:tcW w:w="1080" w:type="dxa"/>
            <w:vAlign w:val="center"/>
          </w:tcPr>
          <w:p w14:paraId="13EB34FB" w14:textId="38F873C4" w:rsidR="0071438D" w:rsidRPr="0071261A" w:rsidRDefault="0071438D" w:rsidP="007126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Months</w:t>
            </w:r>
          </w:p>
        </w:tc>
        <w:tc>
          <w:tcPr>
            <w:tcW w:w="1350" w:type="dxa"/>
            <w:vAlign w:val="center"/>
          </w:tcPr>
          <w:p w14:paraId="415C3C9A" w14:textId="57166B80" w:rsidR="0071438D" w:rsidRPr="0071261A" w:rsidRDefault="0071438D" w:rsidP="004D3C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4D3C22">
              <w:rPr>
                <w:sz w:val="20"/>
                <w:szCs w:val="20"/>
              </w:rPr>
              <w:t>3,000</w:t>
            </w:r>
          </w:p>
        </w:tc>
        <w:tc>
          <w:tcPr>
            <w:tcW w:w="1271" w:type="dxa"/>
            <w:vAlign w:val="center"/>
          </w:tcPr>
          <w:p w14:paraId="7A5982F9" w14:textId="102E9E60" w:rsidR="0071438D" w:rsidRPr="0071261A" w:rsidRDefault="004D3C22" w:rsidP="004D3C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$3,000</w:t>
            </w:r>
          </w:p>
        </w:tc>
      </w:tr>
      <w:tr w:rsidR="0071438D" w14:paraId="2C4A2B8A" w14:textId="77777777" w:rsidTr="0071438D">
        <w:tc>
          <w:tcPr>
            <w:tcW w:w="2995" w:type="dxa"/>
          </w:tcPr>
          <w:p w14:paraId="15728C24" w14:textId="2B4CCD02" w:rsidR="0071438D" w:rsidRPr="0071261A" w:rsidRDefault="0071438D" w:rsidP="0071438D">
            <w:pPr>
              <w:rPr>
                <w:sz w:val="20"/>
                <w:szCs w:val="20"/>
              </w:rPr>
            </w:pPr>
            <w:r w:rsidRPr="0071261A">
              <w:rPr>
                <w:sz w:val="20"/>
                <w:szCs w:val="20"/>
              </w:rPr>
              <w:t>Enablix Sales Knowledge Management Platform</w:t>
            </w:r>
            <w:r>
              <w:rPr>
                <w:sz w:val="20"/>
                <w:szCs w:val="20"/>
              </w:rPr>
              <w:t xml:space="preserve"> – Phase 2</w:t>
            </w:r>
          </w:p>
        </w:tc>
        <w:tc>
          <w:tcPr>
            <w:tcW w:w="990" w:type="dxa"/>
            <w:vAlign w:val="center"/>
          </w:tcPr>
          <w:p w14:paraId="6676F201" w14:textId="14F54D9F" w:rsidR="0071438D" w:rsidRDefault="0071438D" w:rsidP="007126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Tier</w:t>
            </w:r>
          </w:p>
        </w:tc>
        <w:tc>
          <w:tcPr>
            <w:tcW w:w="1170" w:type="dxa"/>
            <w:vAlign w:val="center"/>
          </w:tcPr>
          <w:p w14:paraId="7C2F01A7" w14:textId="189F5C0E" w:rsidR="0071438D" w:rsidRDefault="0071438D" w:rsidP="004D3C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D3C22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 xml:space="preserve"> Users</w:t>
            </w:r>
          </w:p>
        </w:tc>
        <w:tc>
          <w:tcPr>
            <w:tcW w:w="1080" w:type="dxa"/>
            <w:vAlign w:val="center"/>
          </w:tcPr>
          <w:p w14:paraId="325F5616" w14:textId="6860ED18" w:rsidR="0071438D" w:rsidRDefault="0071438D" w:rsidP="007126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Months</w:t>
            </w:r>
          </w:p>
        </w:tc>
        <w:tc>
          <w:tcPr>
            <w:tcW w:w="1350" w:type="dxa"/>
            <w:vAlign w:val="center"/>
          </w:tcPr>
          <w:p w14:paraId="0E764B8F" w14:textId="3CA6A6D1" w:rsidR="0071438D" w:rsidRDefault="004D3C22" w:rsidP="004D3C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$3,000</w:t>
            </w:r>
            <w:bookmarkStart w:id="0" w:name="_GoBack"/>
            <w:bookmarkEnd w:id="0"/>
          </w:p>
        </w:tc>
        <w:tc>
          <w:tcPr>
            <w:tcW w:w="1271" w:type="dxa"/>
            <w:vAlign w:val="center"/>
          </w:tcPr>
          <w:p w14:paraId="6B3D5DF3" w14:textId="7B3311D4" w:rsidR="0071438D" w:rsidRDefault="004D3C22" w:rsidP="007143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$3,000</w:t>
            </w:r>
          </w:p>
        </w:tc>
      </w:tr>
    </w:tbl>
    <w:p w14:paraId="7635AA1C" w14:textId="77777777" w:rsidR="000E2EBB" w:rsidRDefault="000E2EBB" w:rsidP="000E2EBB"/>
    <w:p w14:paraId="41CCBFA9" w14:textId="0D086174" w:rsidR="004452DB" w:rsidRDefault="002139C7" w:rsidP="004452DB">
      <w:pPr>
        <w:rPr>
          <w:b/>
        </w:rPr>
      </w:pPr>
      <w:r>
        <w:rPr>
          <w:b/>
        </w:rPr>
        <w:t xml:space="preserve">Salesforce Plugin </w:t>
      </w:r>
      <w:r w:rsidRPr="009112E5">
        <w:rPr>
          <w:b/>
        </w:rPr>
        <w:t>Pricing</w:t>
      </w:r>
    </w:p>
    <w:p w14:paraId="0027A3B6" w14:textId="77777777" w:rsidR="002139C7" w:rsidRDefault="002139C7" w:rsidP="004452DB">
      <w:pPr>
        <w:rPr>
          <w:b/>
        </w:rPr>
      </w:pPr>
    </w:p>
    <w:tbl>
      <w:tblPr>
        <w:tblStyle w:val="TableGrid"/>
        <w:tblW w:w="885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95"/>
        <w:gridCol w:w="990"/>
        <w:gridCol w:w="1170"/>
        <w:gridCol w:w="1080"/>
        <w:gridCol w:w="1350"/>
        <w:gridCol w:w="1271"/>
      </w:tblGrid>
      <w:tr w:rsidR="002139C7" w14:paraId="6A0AFB16" w14:textId="77777777" w:rsidTr="00BB7EF6">
        <w:tc>
          <w:tcPr>
            <w:tcW w:w="2995" w:type="dxa"/>
            <w:vAlign w:val="center"/>
          </w:tcPr>
          <w:p w14:paraId="6603F52D" w14:textId="77777777" w:rsidR="002139C7" w:rsidRPr="0071261A" w:rsidRDefault="002139C7" w:rsidP="00BB7EF6">
            <w:pPr>
              <w:jc w:val="center"/>
              <w:rPr>
                <w:sz w:val="20"/>
                <w:szCs w:val="20"/>
              </w:rPr>
            </w:pPr>
            <w:r w:rsidRPr="0071261A">
              <w:rPr>
                <w:sz w:val="20"/>
                <w:szCs w:val="20"/>
              </w:rPr>
              <w:t>Product Title</w:t>
            </w:r>
          </w:p>
        </w:tc>
        <w:tc>
          <w:tcPr>
            <w:tcW w:w="990" w:type="dxa"/>
            <w:vAlign w:val="center"/>
          </w:tcPr>
          <w:p w14:paraId="40E1AEFB" w14:textId="77777777" w:rsidR="002139C7" w:rsidRPr="0071261A" w:rsidRDefault="002139C7" w:rsidP="00BB7EF6">
            <w:pPr>
              <w:jc w:val="center"/>
              <w:rPr>
                <w:sz w:val="20"/>
                <w:szCs w:val="20"/>
              </w:rPr>
            </w:pPr>
            <w:r w:rsidRPr="0071261A">
              <w:rPr>
                <w:sz w:val="20"/>
                <w:szCs w:val="20"/>
              </w:rPr>
              <w:t>Unit</w:t>
            </w:r>
          </w:p>
        </w:tc>
        <w:tc>
          <w:tcPr>
            <w:tcW w:w="1170" w:type="dxa"/>
            <w:vAlign w:val="center"/>
          </w:tcPr>
          <w:p w14:paraId="2D02B677" w14:textId="2CFCFB51" w:rsidR="002139C7" w:rsidRPr="0071261A" w:rsidRDefault="002139C7" w:rsidP="00BB7E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Count</w:t>
            </w:r>
          </w:p>
        </w:tc>
        <w:tc>
          <w:tcPr>
            <w:tcW w:w="1080" w:type="dxa"/>
            <w:vAlign w:val="center"/>
          </w:tcPr>
          <w:p w14:paraId="5C1EC08E" w14:textId="77777777" w:rsidR="002139C7" w:rsidRPr="0071261A" w:rsidRDefault="002139C7" w:rsidP="00BB7E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Period</w:t>
            </w:r>
          </w:p>
        </w:tc>
        <w:tc>
          <w:tcPr>
            <w:tcW w:w="1350" w:type="dxa"/>
            <w:vAlign w:val="center"/>
          </w:tcPr>
          <w:p w14:paraId="22CDF2CF" w14:textId="77777777" w:rsidR="002139C7" w:rsidRPr="0071261A" w:rsidRDefault="002139C7" w:rsidP="00BB7E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Per Unit</w:t>
            </w:r>
          </w:p>
        </w:tc>
        <w:tc>
          <w:tcPr>
            <w:tcW w:w="1271" w:type="dxa"/>
            <w:vAlign w:val="center"/>
          </w:tcPr>
          <w:p w14:paraId="51E8C644" w14:textId="77777777" w:rsidR="002139C7" w:rsidRPr="0071261A" w:rsidRDefault="002139C7" w:rsidP="00BB7EF6">
            <w:pPr>
              <w:jc w:val="center"/>
              <w:rPr>
                <w:sz w:val="20"/>
                <w:szCs w:val="20"/>
              </w:rPr>
            </w:pPr>
            <w:r w:rsidRPr="0071261A">
              <w:rPr>
                <w:sz w:val="20"/>
                <w:szCs w:val="20"/>
              </w:rPr>
              <w:t xml:space="preserve">Final </w:t>
            </w:r>
            <w:r>
              <w:rPr>
                <w:sz w:val="20"/>
                <w:szCs w:val="20"/>
              </w:rPr>
              <w:t xml:space="preserve">Term </w:t>
            </w:r>
            <w:r w:rsidRPr="0071261A">
              <w:rPr>
                <w:sz w:val="20"/>
                <w:szCs w:val="20"/>
              </w:rPr>
              <w:t>Price</w:t>
            </w:r>
          </w:p>
        </w:tc>
      </w:tr>
      <w:tr w:rsidR="002139C7" w14:paraId="76B70DAC" w14:textId="77777777" w:rsidTr="00BB7EF6">
        <w:tc>
          <w:tcPr>
            <w:tcW w:w="2995" w:type="dxa"/>
          </w:tcPr>
          <w:p w14:paraId="424F79C5" w14:textId="1C5C5353" w:rsidR="002139C7" w:rsidRPr="0071261A" w:rsidRDefault="002139C7" w:rsidP="00BB7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Enablix Salesforce Plugin</w:t>
            </w:r>
          </w:p>
        </w:tc>
        <w:tc>
          <w:tcPr>
            <w:tcW w:w="990" w:type="dxa"/>
            <w:vAlign w:val="center"/>
          </w:tcPr>
          <w:p w14:paraId="7DFF614A" w14:textId="1CF5472F" w:rsidR="002139C7" w:rsidRPr="0071261A" w:rsidRDefault="002139C7" w:rsidP="00213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</w:p>
        </w:tc>
        <w:tc>
          <w:tcPr>
            <w:tcW w:w="1170" w:type="dxa"/>
            <w:vAlign w:val="center"/>
          </w:tcPr>
          <w:p w14:paraId="49445535" w14:textId="0156502B" w:rsidR="002139C7" w:rsidRPr="0071261A" w:rsidRDefault="002139C7" w:rsidP="00BB7E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center"/>
          </w:tcPr>
          <w:p w14:paraId="5D85BFDF" w14:textId="4054A93D" w:rsidR="002139C7" w:rsidRPr="0071261A" w:rsidRDefault="002139C7" w:rsidP="00BB7E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Year</w:t>
            </w:r>
          </w:p>
        </w:tc>
        <w:tc>
          <w:tcPr>
            <w:tcW w:w="1350" w:type="dxa"/>
            <w:vAlign w:val="center"/>
          </w:tcPr>
          <w:p w14:paraId="6F1EC43F" w14:textId="4D698649" w:rsidR="002139C7" w:rsidRPr="0071261A" w:rsidRDefault="002139C7" w:rsidP="00213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$420</w:t>
            </w:r>
          </w:p>
        </w:tc>
        <w:tc>
          <w:tcPr>
            <w:tcW w:w="1271" w:type="dxa"/>
            <w:vAlign w:val="center"/>
          </w:tcPr>
          <w:p w14:paraId="0A5B96DB" w14:textId="27E46C2B" w:rsidR="002139C7" w:rsidRPr="0071261A" w:rsidRDefault="002139C7" w:rsidP="00213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$4,200</w:t>
            </w:r>
          </w:p>
        </w:tc>
      </w:tr>
    </w:tbl>
    <w:p w14:paraId="01167A34" w14:textId="77777777" w:rsidR="002139C7" w:rsidRPr="004452DB" w:rsidRDefault="002139C7" w:rsidP="004452DB"/>
    <w:sectPr w:rsidR="002139C7" w:rsidRPr="004452DB" w:rsidSect="001B7E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80694"/>
    <w:multiLevelType w:val="hybridMultilevel"/>
    <w:tmpl w:val="1038A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439A"/>
    <w:multiLevelType w:val="hybridMultilevel"/>
    <w:tmpl w:val="AEBC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05A8A"/>
    <w:multiLevelType w:val="hybridMultilevel"/>
    <w:tmpl w:val="4E5C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54B87"/>
    <w:multiLevelType w:val="hybridMultilevel"/>
    <w:tmpl w:val="8F7E4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02"/>
    <w:rsid w:val="0002360F"/>
    <w:rsid w:val="000243BC"/>
    <w:rsid w:val="000E2EBB"/>
    <w:rsid w:val="000E30E6"/>
    <w:rsid w:val="0011354C"/>
    <w:rsid w:val="001B7E18"/>
    <w:rsid w:val="001E2D1D"/>
    <w:rsid w:val="001F2E63"/>
    <w:rsid w:val="002139C7"/>
    <w:rsid w:val="00296E91"/>
    <w:rsid w:val="004452DB"/>
    <w:rsid w:val="00492101"/>
    <w:rsid w:val="004D3C22"/>
    <w:rsid w:val="004D5062"/>
    <w:rsid w:val="0071261A"/>
    <w:rsid w:val="0071438D"/>
    <w:rsid w:val="0074524F"/>
    <w:rsid w:val="007605E0"/>
    <w:rsid w:val="007C1104"/>
    <w:rsid w:val="008B28C5"/>
    <w:rsid w:val="008C5B9B"/>
    <w:rsid w:val="008F703F"/>
    <w:rsid w:val="009112E5"/>
    <w:rsid w:val="00AB04E5"/>
    <w:rsid w:val="00B609B6"/>
    <w:rsid w:val="00D12C4A"/>
    <w:rsid w:val="00D6171C"/>
    <w:rsid w:val="00D716B3"/>
    <w:rsid w:val="00D72771"/>
    <w:rsid w:val="00E06E69"/>
    <w:rsid w:val="00EC5E18"/>
    <w:rsid w:val="00F26A74"/>
    <w:rsid w:val="00F3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EC6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6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452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12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2E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6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452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12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2E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nablix.com/terms" TargetMode="External"/><Relationship Id="rId7" Type="http://schemas.openxmlformats.org/officeDocument/2006/relationships/hyperlink" Target="https://www.enablix.com/privac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435</Words>
  <Characters>2481</Characters>
  <Application>Microsoft Macintosh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Harode</dc:creator>
  <cp:keywords/>
  <dc:description/>
  <cp:lastModifiedBy>Gaurav Harode</cp:lastModifiedBy>
  <cp:revision>4</cp:revision>
  <cp:lastPrinted>2016-11-21T20:45:00Z</cp:lastPrinted>
  <dcterms:created xsi:type="dcterms:W3CDTF">2018-03-19T15:07:00Z</dcterms:created>
  <dcterms:modified xsi:type="dcterms:W3CDTF">2018-03-19T15:13:00Z</dcterms:modified>
</cp:coreProperties>
</file>