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8"/>
        <w:framePr w:w="0" w:hRule="auto" w:wrap="auto" w:vAnchor="margin" w:hAnchor="text" w:yAlign="inline"/>
        <w:suppressAutoHyphens w:val="0"/>
        <w:spacing w:after="0" w:line="360" w:lineRule="auto"/>
        <w:jc w:val="left"/>
        <w:rPr>
          <w:rFonts w:ascii="Arial" w:hAnsi="Arial" w:eastAsia="Arial" w:cs="Arial"/>
          <w:b/>
          <w:bCs/>
        </w:rPr>
      </w:pPr>
      <w:r>
        <w:rPr>
          <w:rFonts w:ascii="Arial" w:hAnsi="Arial"/>
          <w:b/>
          <w:bCs/>
          <w:rtl w:val="0"/>
          <w:lang w:val="en-US"/>
        </w:rPr>
        <w:t>Primary CD4+T cell purification and cell culture</w:t>
      </w:r>
    </w:p>
    <w:p>
      <w:pPr>
        <w:pStyle w:val="8"/>
        <w:framePr w:w="0" w:hRule="auto" w:wrap="auto" w:vAnchor="margin" w:hAnchor="text" w:yAlign="inline"/>
        <w:suppressAutoHyphens w:val="0"/>
        <w:spacing w:after="0" w:line="360" w:lineRule="auto"/>
        <w:rPr>
          <w:rFonts w:ascii="Arial" w:hAnsi="Arial" w:eastAsia="Arial" w:cs="Arial"/>
        </w:rPr>
      </w:pPr>
      <w:r>
        <w:rPr>
          <w:rFonts w:ascii="Arial" w:hAnsi="Arial"/>
          <w:rtl w:val="0"/>
        </w:rPr>
        <w:t>P</w:t>
      </w:r>
      <w:r>
        <w:rPr>
          <w:rFonts w:ascii="Arial" w:hAnsi="Arial"/>
          <w:rtl w:val="0"/>
          <w:lang w:val="en-US"/>
        </w:rPr>
        <w:t>rimary CD4+ T cells</w:t>
      </w:r>
      <w:r>
        <w:rPr>
          <w:rFonts w:ascii="Arial" w:hAnsi="Arial"/>
          <w:rtl w:val="0"/>
        </w:rPr>
        <w:t xml:space="preserve"> from elite controllers received from the CODEX cohort (</w:t>
      </w:r>
      <w:r>
        <w:rPr>
          <w:rFonts w:ascii="Arial" w:hAnsi="Arial"/>
          <w:color w:val="FF2600"/>
          <w:rtl w:val="0"/>
        </w:rPr>
        <w:t>Table 1</w:t>
      </w:r>
      <w:r>
        <w:rPr>
          <w:rFonts w:ascii="Arial" w:hAnsi="Arial"/>
          <w:rtl w:val="0"/>
        </w:rPr>
        <w:t xml:space="preserve">) were purified from </w:t>
      </w:r>
      <w:r>
        <w:rPr>
          <w:rFonts w:ascii="Arial" w:hAnsi="Arial"/>
          <w:rtl w:val="0"/>
          <w:lang w:val="en-US"/>
        </w:rPr>
        <w:t>peripheral blood mononuclear cell</w:t>
      </w:r>
      <w:r>
        <w:rPr>
          <w:rFonts w:ascii="Arial" w:hAnsi="Arial"/>
          <w:rtl w:val="0"/>
        </w:rPr>
        <w:t xml:space="preserve">s (PBMCs) using human CD4+ T cell Isolation Kit (Miltenyi Biotec). Briefly, 10 million PBMCs were resuspended in buffer (2 - 8 </w:t>
      </w:r>
      <w:r>
        <w:rPr>
          <w:rFonts w:hint="default" w:ascii="Arial Unicode MS" w:hAnsi="Arial Unicode MS" w:eastAsia="Arial Unicode MS" w:cs="Arial Unicode MS"/>
          <w:b w:val="0"/>
          <w:bCs w:val="0"/>
          <w:i w:val="0"/>
          <w:iCs w:val="0"/>
          <w:rtl w:val="0"/>
        </w:rPr>
        <w:t>℃</w:t>
      </w:r>
      <w:r>
        <w:rPr>
          <w:rFonts w:ascii="Arial" w:hAnsi="Arial"/>
          <w:rtl w:val="0"/>
        </w:rPr>
        <w:t xml:space="preserve">) containing phosphate-buffered saline (PBS), pH 7.2, 0.5% bovine serum albumin (BSA), and 2 mM EDTA in the volume of 40 </w:t>
      </w:r>
      <w:r>
        <w:rPr>
          <w:rFonts w:hint="default" w:ascii="Arial" w:hAnsi="Arial"/>
          <w:rtl w:val="0"/>
        </w:rPr>
        <w:t>µ</w:t>
      </w:r>
      <w:r>
        <w:rPr>
          <w:rFonts w:ascii="Arial" w:hAnsi="Arial"/>
          <w:rtl w:val="0"/>
        </w:rPr>
        <w:t xml:space="preserve">L. 10 </w:t>
      </w:r>
      <w:r>
        <w:rPr>
          <w:rFonts w:hint="default" w:ascii="Arial" w:hAnsi="Arial"/>
          <w:rtl w:val="0"/>
        </w:rPr>
        <w:t>µ</w:t>
      </w:r>
      <w:r>
        <w:rPr>
          <w:rFonts w:ascii="Arial" w:hAnsi="Arial"/>
          <w:rtl w:val="0"/>
        </w:rPr>
        <w:t xml:space="preserve">L of CD4+ T cell Biotin-Antibody Cocktail were subjected to resuspended PBMCs and the mixture was incubated at 4 </w:t>
      </w:r>
      <w:r>
        <w:rPr>
          <w:rFonts w:hint="default" w:ascii="Arial Unicode MS" w:hAnsi="Arial Unicode MS" w:eastAsia="Arial Unicode MS" w:cs="Arial Unicode MS"/>
          <w:b w:val="0"/>
          <w:bCs w:val="0"/>
          <w:i w:val="0"/>
          <w:iCs w:val="0"/>
          <w:rtl w:val="0"/>
        </w:rPr>
        <w:t>℃</w:t>
      </w:r>
      <w:r>
        <w:rPr>
          <w:rFonts w:ascii="Arial" w:hAnsi="Arial"/>
          <w:rtl w:val="0"/>
        </w:rPr>
        <w:t xml:space="preserve"> for 5 min. 30 </w:t>
      </w:r>
      <w:r>
        <w:rPr>
          <w:rFonts w:hint="default" w:ascii="Arial" w:hAnsi="Arial"/>
          <w:rtl w:val="0"/>
        </w:rPr>
        <w:t>µ</w:t>
      </w:r>
      <w:r>
        <w:rPr>
          <w:rFonts w:ascii="Arial" w:hAnsi="Arial"/>
          <w:rtl w:val="0"/>
        </w:rPr>
        <w:t xml:space="preserve">L of buffer was again added to the mixture followed by adding 20 </w:t>
      </w:r>
      <w:r>
        <w:rPr>
          <w:rFonts w:hint="default" w:ascii="Arial" w:hAnsi="Arial"/>
          <w:rtl w:val="0"/>
        </w:rPr>
        <w:t>µ</w:t>
      </w:r>
      <w:r>
        <w:rPr>
          <w:rFonts w:ascii="Arial" w:hAnsi="Arial"/>
          <w:rtl w:val="0"/>
          <w:lang w:val="en-US"/>
        </w:rPr>
        <w:t xml:space="preserve">L of CD4+ T cell </w:t>
      </w:r>
      <w:r>
        <w:rPr>
          <w:rFonts w:ascii="Arial" w:hAnsi="Arial"/>
          <w:rtl w:val="0"/>
        </w:rPr>
        <w:t xml:space="preserve">MicroBead Cocktail. The mixture was then incubated </w:t>
      </w:r>
      <w:r>
        <w:rPr>
          <w:rFonts w:ascii="Arial" w:hAnsi="Arial"/>
          <w:rtl w:val="0"/>
          <w:lang w:val="en-US"/>
        </w:rPr>
        <w:t xml:space="preserve">at 4 </w:t>
      </w:r>
      <w:r>
        <w:rPr>
          <w:rFonts w:hint="default" w:ascii="Arial Unicode MS" w:hAnsi="Arial Unicode MS" w:eastAsia="Arial Unicode MS" w:cs="Arial Unicode MS"/>
          <w:b w:val="0"/>
          <w:bCs w:val="0"/>
          <w:i w:val="0"/>
          <w:iCs w:val="0"/>
          <w:rtl w:val="0"/>
        </w:rPr>
        <w:t>℃</w:t>
      </w:r>
      <w:r>
        <w:rPr>
          <w:rFonts w:ascii="Arial" w:hAnsi="Arial"/>
          <w:rtl w:val="0"/>
        </w:rPr>
        <w:t xml:space="preserve"> </w:t>
      </w:r>
      <w:r>
        <w:rPr>
          <w:rFonts w:ascii="Arial" w:hAnsi="Arial"/>
          <w:rtl w:val="0"/>
          <w:lang w:val="en-US"/>
        </w:rPr>
        <w:t xml:space="preserve">for </w:t>
      </w:r>
      <w:r>
        <w:rPr>
          <w:rFonts w:ascii="Arial" w:hAnsi="Arial"/>
          <w:rtl w:val="0"/>
        </w:rPr>
        <w:t xml:space="preserve">10 min. 400 </w:t>
      </w:r>
      <w:r>
        <w:rPr>
          <w:rFonts w:hint="default" w:ascii="Arial" w:hAnsi="Arial"/>
          <w:rtl w:val="0"/>
        </w:rPr>
        <w:t>µ</w:t>
      </w:r>
      <w:r>
        <w:rPr>
          <w:rFonts w:ascii="Arial" w:hAnsi="Arial"/>
          <w:rtl w:val="0"/>
        </w:rPr>
        <w:t xml:space="preserve">L of buffer was added to fill the volume up to 500 </w:t>
      </w:r>
      <w:r>
        <w:rPr>
          <w:rFonts w:hint="default" w:ascii="Arial" w:hAnsi="Arial"/>
          <w:rtl w:val="0"/>
        </w:rPr>
        <w:t>µ</w:t>
      </w:r>
      <w:r>
        <w:rPr>
          <w:rFonts w:ascii="Arial" w:hAnsi="Arial"/>
          <w:rtl w:val="0"/>
        </w:rPr>
        <w:t xml:space="preserve">L. Cell suspension was applied to the MACS column (LS), which has been rinsed with 3 mL of buffer. Flow-through containing the enriched CD4+ T cells were collected. The column was washed with 3 mL of buffer and the flow-through was again collected and combined with the previous collected flow-through. 1x PBS </w:t>
      </w:r>
      <w:r>
        <w:rPr>
          <w:rFonts w:ascii="Arial" w:hAnsi="Arial"/>
          <w:rtl w:val="0"/>
          <w:lang w:val="en-US"/>
        </w:rPr>
        <w:t xml:space="preserve">containing 2% fetal bovine serum </w:t>
      </w:r>
      <w:r>
        <w:rPr>
          <w:rFonts w:ascii="Arial" w:hAnsi="Arial"/>
          <w:rtl w:val="0"/>
        </w:rPr>
        <w:t xml:space="preserve">was added to enriched CD4+ T cells up to a 50 mL volume. Cells were </w:t>
      </w:r>
      <w:r>
        <w:rPr>
          <w:rFonts w:ascii="Arial" w:hAnsi="Arial"/>
          <w:rtl w:val="0"/>
          <w:lang w:val="it-IT"/>
        </w:rPr>
        <w:t>centrifug</w:t>
      </w:r>
      <w:r>
        <w:rPr>
          <w:rFonts w:ascii="Arial" w:hAnsi="Arial"/>
          <w:rtl w:val="0"/>
        </w:rPr>
        <w:t>ed</w:t>
      </w:r>
      <w:r>
        <w:rPr>
          <w:rFonts w:ascii="Arial" w:hAnsi="Arial"/>
          <w:rtl w:val="0"/>
          <w:lang w:val="en-US"/>
        </w:rPr>
        <w:t xml:space="preserve"> at at 300 g (break low) at 20</w:t>
      </w:r>
      <w:r>
        <w:rPr>
          <w:rFonts w:hint="default" w:ascii="Arial" w:hAnsi="Arial"/>
          <w:rtl w:val="0"/>
        </w:rPr>
        <w:t> </w:t>
      </w:r>
      <w:r>
        <w:rPr>
          <w:rFonts w:hint="default" w:ascii="Arial Unicode MS" w:hAnsi="Arial Unicode MS" w:eastAsia="Arial Unicode MS" w:cs="Arial Unicode MS"/>
          <w:b w:val="0"/>
          <w:bCs w:val="0"/>
          <w:i w:val="0"/>
          <w:iCs w:val="0"/>
          <w:rtl w:val="0"/>
        </w:rPr>
        <w:t>℃</w:t>
      </w:r>
      <w:r>
        <w:rPr>
          <w:rFonts w:ascii="Arial" w:hAnsi="Arial"/>
          <w:rtl w:val="0"/>
        </w:rPr>
        <w:t xml:space="preserve"> </w:t>
      </w:r>
      <w:r>
        <w:rPr>
          <w:rFonts w:ascii="Arial" w:hAnsi="Arial"/>
          <w:rtl w:val="0"/>
          <w:lang w:val="en-US"/>
        </w:rPr>
        <w:t>for 10 min and discard</w:t>
      </w:r>
      <w:r>
        <w:rPr>
          <w:rFonts w:ascii="Arial" w:hAnsi="Arial"/>
          <w:rtl w:val="0"/>
        </w:rPr>
        <w:t>ed</w:t>
      </w:r>
      <w:r>
        <w:rPr>
          <w:rFonts w:ascii="Arial" w:hAnsi="Arial"/>
          <w:rtl w:val="0"/>
          <w:lang w:val="it-IT"/>
        </w:rPr>
        <w:t xml:space="preserve"> supernatant.</w:t>
      </w:r>
      <w:r>
        <w:rPr>
          <w:rFonts w:ascii="Arial" w:hAnsi="Arial"/>
          <w:rtl w:val="0"/>
        </w:rPr>
        <w:t xml:space="preserve"> Cells were resuspended in 3 mL </w:t>
      </w:r>
      <w:r>
        <w:rPr>
          <w:rFonts w:ascii="Arial" w:hAnsi="Arial"/>
          <w:color w:val="FF2600"/>
          <w:rtl w:val="0"/>
        </w:rPr>
        <w:t>RBC lysis buffer ()</w:t>
      </w:r>
      <w:r>
        <w:rPr>
          <w:rFonts w:ascii="Arial" w:hAnsi="Arial"/>
          <w:rtl w:val="0"/>
        </w:rPr>
        <w:t xml:space="preserve"> at the room temperate for 10 min. </w:t>
      </w:r>
      <w:r>
        <w:rPr>
          <w:rFonts w:ascii="Arial" w:hAnsi="Arial"/>
          <w:rtl w:val="0"/>
          <w:lang w:val="en-US"/>
        </w:rPr>
        <w:t xml:space="preserve">1x PBS containing 2% fetal bovine serum was added to </w:t>
      </w:r>
      <w:r>
        <w:rPr>
          <w:rFonts w:ascii="Arial" w:hAnsi="Arial"/>
          <w:rtl w:val="0"/>
        </w:rPr>
        <w:t>RBC-lysed</w:t>
      </w:r>
      <w:r>
        <w:rPr>
          <w:rFonts w:ascii="Arial" w:hAnsi="Arial"/>
          <w:rtl w:val="0"/>
          <w:lang w:val="en-US"/>
        </w:rPr>
        <w:t xml:space="preserve"> CD4+ T cells up to a 50 mL volume. Cells were centrifuged at at 300 g (break low) at 20</w:t>
      </w:r>
      <w:r>
        <w:rPr>
          <w:rFonts w:hint="default" w:ascii="Arial" w:hAnsi="Arial"/>
          <w:rtl w:val="0"/>
        </w:rPr>
        <w:t> </w:t>
      </w:r>
      <w:r>
        <w:rPr>
          <w:rFonts w:hint="default" w:ascii="Arial Unicode MS" w:hAnsi="Arial Unicode MS" w:eastAsia="Arial Unicode MS" w:cs="Arial Unicode MS"/>
          <w:b w:val="0"/>
          <w:bCs w:val="0"/>
          <w:i w:val="0"/>
          <w:iCs w:val="0"/>
          <w:rtl w:val="0"/>
        </w:rPr>
        <w:t>℃</w:t>
      </w:r>
      <w:r>
        <w:rPr>
          <w:rFonts w:ascii="Arial" w:hAnsi="Arial"/>
          <w:rtl w:val="0"/>
        </w:rPr>
        <w:t xml:space="preserve"> </w:t>
      </w:r>
      <w:r>
        <w:rPr>
          <w:rFonts w:ascii="Arial" w:hAnsi="Arial"/>
          <w:rtl w:val="0"/>
          <w:lang w:val="en-US"/>
        </w:rPr>
        <w:t>for 10 min and discarded supernatant.</w:t>
      </w:r>
      <w:r>
        <w:rPr>
          <w:rFonts w:ascii="Arial" w:hAnsi="Arial"/>
          <w:rtl w:val="0"/>
        </w:rPr>
        <w:t xml:space="preserve"> </w:t>
      </w:r>
      <w:r>
        <w:rPr>
          <w:rFonts w:ascii="Arial" w:hAnsi="Arial"/>
          <w:rtl w:val="0"/>
          <w:lang w:val="en-US"/>
        </w:rPr>
        <w:t xml:space="preserve">Cell pellets were resuspended in RPMI 1640 medium (Gibco) supplemented with 10% fetal bovine serum (Gibco), 1% Penicillin-Streptomycin (Gibco), 1% sodium pyruvate (Gibco) and 1% GlutaMAX (100x) (Gibco). </w:t>
      </w:r>
    </w:p>
    <w:p>
      <w:pPr>
        <w:pStyle w:val="8"/>
        <w:framePr w:w="0" w:hRule="auto" w:wrap="auto" w:vAnchor="margin" w:hAnchor="text" w:yAlign="inline"/>
        <w:suppressAutoHyphens w:val="0"/>
        <w:spacing w:after="0" w:line="360" w:lineRule="auto"/>
        <w:rPr>
          <w:rFonts w:ascii="Arial" w:hAnsi="Arial" w:eastAsia="Arial" w:cs="Arial"/>
        </w:rPr>
      </w:pPr>
    </w:p>
    <w:p>
      <w:pPr>
        <w:pStyle w:val="8"/>
        <w:framePr w:w="0" w:hRule="auto" w:wrap="auto" w:vAnchor="margin" w:hAnchor="text" w:yAlign="inline"/>
        <w:suppressAutoHyphens w:val="0"/>
        <w:spacing w:after="0" w:line="360" w:lineRule="auto"/>
        <w:rPr>
          <w:rFonts w:ascii="Arial" w:hAnsi="Arial" w:eastAsia="Arial" w:cs="Arial"/>
        </w:rPr>
      </w:pPr>
      <w:r>
        <w:rPr>
          <w:rFonts w:ascii="Arial" w:hAnsi="Arial"/>
          <w:rtl w:val="0"/>
          <w:lang w:val="en-US"/>
        </w:rPr>
        <w:t>The human primary CD4+ T cells were purified from the healthy donor (</w:t>
      </w:r>
      <w:r>
        <w:rPr>
          <w:rFonts w:hint="default" w:ascii="Arial" w:hAnsi="Arial"/>
          <w:rtl w:val="0"/>
          <w:lang w:val="fr-FR"/>
        </w:rPr>
        <w:t>É</w:t>
      </w:r>
      <w:r>
        <w:rPr>
          <w:rFonts w:ascii="Arial" w:hAnsi="Arial"/>
          <w:rtl w:val="0"/>
          <w:lang w:val="fr-FR"/>
        </w:rPr>
        <w:t>tablissement Fran</w:t>
      </w:r>
      <w:r>
        <w:rPr>
          <w:rFonts w:hint="default" w:ascii="Arial" w:hAnsi="Arial"/>
          <w:rtl w:val="0"/>
          <w:lang w:val="pt-PT"/>
        </w:rPr>
        <w:t>ç</w:t>
      </w:r>
      <w:r>
        <w:rPr>
          <w:rFonts w:ascii="Arial" w:hAnsi="Arial"/>
          <w:rtl w:val="0"/>
          <w:lang w:val="en-US"/>
        </w:rPr>
        <w:t>ais Du Sang). Briefly, 1x phosphate-buffered saline (PBS) was added to buffy coat up to a 160 mL volume. 8 mL RosetteSep</w:t>
      </w:r>
      <w:r>
        <w:rPr>
          <w:rFonts w:ascii="Arial" w:hAnsi="Arial"/>
          <w:vertAlign w:val="superscript"/>
          <w:rtl w:val="0"/>
        </w:rPr>
        <w:t>TM</w:t>
      </w:r>
      <w:r>
        <w:rPr>
          <w:rFonts w:ascii="Arial" w:hAnsi="Arial"/>
          <w:rtl w:val="0"/>
          <w:lang w:val="en-US"/>
        </w:rPr>
        <w:t xml:space="preserve"> Cocktail (Stemcell Technologies) was slowly added into the mixture and incubated at room temperature for 20 min. The mixture was diluted by using 1x PBS containing 2% fetal bovine serum (Gibco) up to 240 mL and distributed into 8 50 mL falcon tubes containing 10 mL Lymphocytes separation medium (eurobio, CMSMSL01-01). The mixture was centrifuged at 1,200 g (slow acceleration and brake off) at 20</w:t>
      </w:r>
      <w:r>
        <w:rPr>
          <w:rFonts w:hint="default" w:ascii="Arial" w:hAnsi="Arial"/>
          <w:rtl w:val="0"/>
        </w:rPr>
        <w:t> </w:t>
      </w:r>
      <w:r>
        <w:rPr>
          <w:rFonts w:hint="default" w:ascii="Arial Unicode MS" w:hAnsi="Arial Unicode MS" w:eastAsia="Arial Unicode MS" w:cs="Arial Unicode MS"/>
          <w:b w:val="0"/>
          <w:bCs w:val="0"/>
          <w:i w:val="0"/>
          <w:iCs w:val="0"/>
          <w:rtl w:val="0"/>
        </w:rPr>
        <w:t>℃</w:t>
      </w:r>
      <w:r>
        <w:rPr>
          <w:rFonts w:ascii="Arial" w:hAnsi="Arial"/>
          <w:rtl w:val="0"/>
        </w:rPr>
        <w:t xml:space="preserve"> </w:t>
      </w:r>
      <w:r>
        <w:rPr>
          <w:rFonts w:ascii="Arial" w:hAnsi="Arial"/>
          <w:rtl w:val="0"/>
          <w:lang w:val="en-US"/>
        </w:rPr>
        <w:t>for 20 min. Enriched cell layer was harvested with a pipette and transferred to new 50 mL falcon tubes. Collected cells were diluted by 1x PBS containing 2% fetal bovine serum up to a 50 mL volume. Cells were centrifuged at 300 g (break low) at 20</w:t>
      </w:r>
      <w:r>
        <w:rPr>
          <w:rFonts w:hint="default" w:ascii="Arial" w:hAnsi="Arial"/>
          <w:rtl w:val="0"/>
        </w:rPr>
        <w:t> </w:t>
      </w:r>
      <w:r>
        <w:rPr>
          <w:rFonts w:hint="default" w:ascii="Arial Unicode MS" w:hAnsi="Arial Unicode MS" w:eastAsia="Arial Unicode MS" w:cs="Arial Unicode MS"/>
          <w:b w:val="0"/>
          <w:bCs w:val="0"/>
          <w:i w:val="0"/>
          <w:iCs w:val="0"/>
          <w:rtl w:val="0"/>
        </w:rPr>
        <w:t>℃</w:t>
      </w:r>
      <w:r>
        <w:rPr>
          <w:rFonts w:ascii="Arial" w:hAnsi="Arial"/>
          <w:rtl w:val="0"/>
        </w:rPr>
        <w:t xml:space="preserve"> </w:t>
      </w:r>
      <w:r>
        <w:rPr>
          <w:rFonts w:ascii="Arial" w:hAnsi="Arial"/>
          <w:rtl w:val="0"/>
          <w:lang w:val="en-US"/>
        </w:rPr>
        <w:t>for 10 min and discarded supernatant.</w:t>
      </w:r>
      <w:r>
        <w:rPr>
          <w:rFonts w:ascii="Arial" w:hAnsi="Arial"/>
          <w:rtl w:val="0"/>
        </w:rPr>
        <w:t xml:space="preserve"> Cells were resuspended in 3 mL </w:t>
      </w:r>
      <w:r>
        <w:rPr>
          <w:rFonts w:ascii="Arial" w:hAnsi="Arial"/>
          <w:color w:val="FF2600"/>
          <w:rtl w:val="0"/>
        </w:rPr>
        <w:t>RBC lysis buffer ()</w:t>
      </w:r>
      <w:r>
        <w:rPr>
          <w:rFonts w:ascii="Arial" w:hAnsi="Arial"/>
          <w:rtl w:val="0"/>
        </w:rPr>
        <w:t xml:space="preserve"> at the room temperate for 10 min. </w:t>
      </w:r>
      <w:r>
        <w:rPr>
          <w:rFonts w:ascii="Arial" w:hAnsi="Arial"/>
          <w:rtl w:val="0"/>
          <w:lang w:val="en-US"/>
        </w:rPr>
        <w:t xml:space="preserve">1x PBS containing 2% fetal bovine serum was added to </w:t>
      </w:r>
      <w:r>
        <w:rPr>
          <w:rFonts w:ascii="Arial" w:hAnsi="Arial"/>
          <w:rtl w:val="0"/>
        </w:rPr>
        <w:t>RBC-lysed</w:t>
      </w:r>
      <w:r>
        <w:rPr>
          <w:rFonts w:ascii="Arial" w:hAnsi="Arial"/>
          <w:rtl w:val="0"/>
          <w:lang w:val="en-US"/>
        </w:rPr>
        <w:t xml:space="preserve"> CD4+ T cells up to a 50 mL volume. Cells were centrifuged at at 300 g (break low) at 20</w:t>
      </w:r>
      <w:r>
        <w:rPr>
          <w:rFonts w:hint="default" w:ascii="Arial" w:hAnsi="Arial"/>
          <w:rtl w:val="0"/>
        </w:rPr>
        <w:t> </w:t>
      </w:r>
      <w:r>
        <w:rPr>
          <w:rFonts w:hint="default" w:ascii="Arial Unicode MS" w:hAnsi="Arial Unicode MS" w:eastAsia="Arial Unicode MS" w:cs="Arial Unicode MS"/>
          <w:b w:val="0"/>
          <w:bCs w:val="0"/>
          <w:i w:val="0"/>
          <w:iCs w:val="0"/>
          <w:rtl w:val="0"/>
        </w:rPr>
        <w:t>℃</w:t>
      </w:r>
      <w:r>
        <w:rPr>
          <w:rFonts w:ascii="Arial" w:hAnsi="Arial"/>
          <w:rtl w:val="0"/>
        </w:rPr>
        <w:t xml:space="preserve"> </w:t>
      </w:r>
      <w:r>
        <w:rPr>
          <w:rFonts w:ascii="Arial" w:hAnsi="Arial"/>
          <w:rtl w:val="0"/>
          <w:lang w:val="en-US"/>
        </w:rPr>
        <w:t xml:space="preserve">for 10 min and discarded supernatant. Cell pellets were resuspended in RPMI 1640 medium (Gibco) supplemented with 10% fetal bovine serum (Gibco), 1% Penicillin-Streptomycin (Gibco), 1% sodium pyruvate (Gibco) and 1% GlutaMAX (100x) (Gibco). </w:t>
      </w:r>
    </w:p>
    <w:p>
      <w:pPr>
        <w:pStyle w:val="8"/>
        <w:framePr w:w="0" w:hRule="auto" w:wrap="auto" w:vAnchor="margin" w:hAnchor="text" w:yAlign="inline"/>
        <w:suppressAutoHyphens w:val="0"/>
        <w:spacing w:after="0" w:line="360" w:lineRule="auto"/>
        <w:rPr>
          <w:rFonts w:ascii="Arial" w:hAnsi="Arial" w:eastAsia="Arial" w:cs="Arial"/>
        </w:rPr>
      </w:pPr>
    </w:p>
    <w:p>
      <w:pPr>
        <w:pStyle w:val="8"/>
        <w:framePr w:w="0" w:hRule="auto" w:wrap="auto" w:vAnchor="margin" w:hAnchor="text" w:yAlign="inline"/>
        <w:suppressAutoHyphens w:val="0"/>
        <w:spacing w:after="0" w:line="360" w:lineRule="auto"/>
        <w:rPr>
          <w:rFonts w:ascii="Arial" w:hAnsi="Arial" w:eastAsia="Arial" w:cs="Arial"/>
          <w:b/>
          <w:bCs/>
        </w:rPr>
      </w:pPr>
      <w:r>
        <w:rPr>
          <w:rFonts w:ascii="Arial" w:hAnsi="Arial"/>
          <w:b/>
          <w:bCs/>
          <w:rtl w:val="0"/>
          <w:lang w:val="en-US"/>
        </w:rPr>
        <w:t>Transfection and viral Infection</w:t>
      </w:r>
    </w:p>
    <w:p>
      <w:pPr>
        <w:pStyle w:val="8"/>
        <w:framePr w:w="0" w:hRule="auto" w:wrap="auto" w:vAnchor="margin" w:hAnchor="text" w:yAlign="inline"/>
        <w:suppressAutoHyphens w:val="0"/>
        <w:spacing w:after="0" w:line="360" w:lineRule="auto"/>
        <w:rPr>
          <w:rFonts w:ascii="Arial" w:hAnsi="Arial" w:eastAsia="Arial" w:cs="Arial"/>
          <w:shd w:val="clear" w:color="auto" w:fill="FFFFFF"/>
        </w:rPr>
      </w:pPr>
      <w:r>
        <w:rPr>
          <w:rFonts w:ascii="Arial" w:hAnsi="Arial"/>
          <w:rtl w:val="0"/>
          <w:lang w:val="en-US"/>
        </w:rPr>
        <w:t xml:space="preserve">The barcoded </w:t>
      </w:r>
      <w:r>
        <w:rPr>
          <w:rFonts w:ascii="Arial" w:hAnsi="Arial"/>
          <w:rtl w:val="0"/>
        </w:rPr>
        <w:t>HIV (pHCC1) library</w:t>
      </w:r>
      <w:r>
        <w:rPr>
          <w:rFonts w:ascii="Arial" w:hAnsi="Arial"/>
          <w:rtl w:val="0"/>
          <w:lang w:val="en-US"/>
        </w:rPr>
        <w:t xml:space="preserve"> was produced as described before</w:t>
      </w:r>
      <w:r>
        <w:rPr>
          <w:rFonts w:ascii="Arial" w:hAnsi="Arial"/>
          <w:rtl w:val="0"/>
        </w:rPr>
        <w:t xml:space="preserve"> (Chen et al. 2017; </w:t>
      </w:r>
      <w:r>
        <w:rPr>
          <w:rFonts w:ascii="Arial" w:hAnsi="Arial"/>
          <w:rtl w:val="0"/>
          <w:lang w:val="en-US"/>
        </w:rPr>
        <w:t xml:space="preserve">Chen et al. 2018). To prepare viral stocks, two million HEK 293T cells in 10 cm dishes were transfected with 3 </w:t>
      </w:r>
      <w:r>
        <w:rPr>
          <w:rFonts w:hint="default" w:ascii="Arial" w:hAnsi="Arial"/>
          <w:rtl w:val="0"/>
        </w:rPr>
        <w:t>µ</w:t>
      </w:r>
      <w:r>
        <w:rPr>
          <w:rFonts w:ascii="Arial" w:hAnsi="Arial"/>
          <w:rtl w:val="0"/>
        </w:rPr>
        <w:t xml:space="preserve">g p8.2, 2 </w:t>
      </w:r>
      <w:r>
        <w:rPr>
          <w:rFonts w:hint="default" w:ascii="Arial" w:hAnsi="Arial"/>
          <w:rtl w:val="0"/>
        </w:rPr>
        <w:t>µ</w:t>
      </w:r>
      <w:r>
        <w:rPr>
          <w:rFonts w:ascii="Arial" w:hAnsi="Arial"/>
          <w:rtl w:val="0"/>
          <w:lang w:val="en-US"/>
        </w:rPr>
        <w:t xml:space="preserve">g pMD2G and 6 </w:t>
      </w:r>
      <w:r>
        <w:rPr>
          <w:rFonts w:hint="default" w:ascii="Arial" w:hAnsi="Arial"/>
          <w:rtl w:val="0"/>
        </w:rPr>
        <w:t>µ</w:t>
      </w:r>
      <w:r>
        <w:rPr>
          <w:rFonts w:ascii="Arial" w:hAnsi="Arial"/>
          <w:rtl w:val="0"/>
          <w:lang w:val="en-US"/>
        </w:rPr>
        <w:t>g barcoded pHCC1</w:t>
      </w:r>
      <w:r>
        <w:rPr>
          <w:rFonts w:ascii="Arial" w:hAnsi="Arial"/>
          <w:rtl w:val="0"/>
        </w:rPr>
        <w:t xml:space="preserve"> </w:t>
      </w:r>
      <w:r>
        <w:rPr>
          <w:rFonts w:ascii="Arial" w:hAnsi="Arial"/>
          <w:rtl w:val="0"/>
          <w:lang w:val="en-US"/>
        </w:rPr>
        <w:t xml:space="preserve">(Chen et al. 2017; Chen et al. 2018). After 16 hours, the medium was replaced. The supernatant was collected 72 hours post transfection and filtered through a 0.45 </w:t>
      </w:r>
      <w:r>
        <w:rPr>
          <w:rFonts w:hint="default" w:ascii="Arial" w:hAnsi="Arial"/>
          <w:rtl w:val="0"/>
        </w:rPr>
        <w:t>µ</w:t>
      </w:r>
      <w:r>
        <w:rPr>
          <w:rFonts w:ascii="Arial" w:hAnsi="Arial"/>
          <w:rtl w:val="0"/>
          <w:lang w:val="en-US"/>
        </w:rPr>
        <w:t xml:space="preserve">m pore membrane (Merck). The vector was concentrated by using ultracentrifugation (Beckman Coulter LE-80K). Supernatant was discarded and pellet was resuspended with 250 </w:t>
      </w:r>
      <w:r>
        <w:rPr>
          <w:rFonts w:hint="default" w:ascii="Arial" w:hAnsi="Arial"/>
          <w:rtl w:val="0"/>
        </w:rPr>
        <w:t>µ</w:t>
      </w:r>
      <w:r>
        <w:rPr>
          <w:rFonts w:ascii="Arial" w:hAnsi="Arial"/>
          <w:rtl w:val="0"/>
          <w:lang w:val="en-US"/>
        </w:rPr>
        <w:t>L PBS containing Ca</w:t>
      </w:r>
      <w:r>
        <w:rPr>
          <w:rFonts w:ascii="Arial" w:hAnsi="Arial"/>
          <w:vertAlign w:val="superscript"/>
          <w:rtl w:val="0"/>
        </w:rPr>
        <w:t>2+</w:t>
      </w:r>
      <w:r>
        <w:rPr>
          <w:rFonts w:ascii="Arial" w:hAnsi="Arial"/>
          <w:rtl w:val="0"/>
          <w:lang w:val="en-US"/>
        </w:rPr>
        <w:t xml:space="preserve"> and Mg</w:t>
      </w:r>
      <w:r>
        <w:rPr>
          <w:rFonts w:ascii="Arial" w:hAnsi="Arial"/>
          <w:vertAlign w:val="superscript"/>
          <w:rtl w:val="0"/>
        </w:rPr>
        <w:t>2+</w:t>
      </w:r>
      <w:r>
        <w:rPr>
          <w:rFonts w:ascii="Arial" w:hAnsi="Arial"/>
          <w:rtl w:val="0"/>
          <w:lang w:val="da-DK"/>
        </w:rPr>
        <w:t xml:space="preserve"> at 4</w:t>
      </w:r>
      <w:r>
        <w:rPr>
          <w:rFonts w:hint="default" w:ascii="Arial" w:hAnsi="Arial"/>
          <w:rtl w:val="0"/>
        </w:rPr>
        <w:t> </w:t>
      </w:r>
      <w:r>
        <w:rPr>
          <w:rFonts w:hint="default" w:ascii="Arial Unicode MS" w:hAnsi="Arial Unicode MS" w:eastAsia="Arial Unicode MS" w:cs="Arial Unicode MS"/>
          <w:b w:val="0"/>
          <w:bCs w:val="0"/>
          <w:i w:val="0"/>
          <w:iCs w:val="0"/>
          <w:rtl w:val="0"/>
        </w:rPr>
        <w:t>℃</w:t>
      </w:r>
      <w:r>
        <w:rPr>
          <w:rFonts w:ascii="Arial" w:hAnsi="Arial"/>
          <w:rtl w:val="0"/>
        </w:rPr>
        <w:t xml:space="preserve"> </w:t>
      </w:r>
      <w:r>
        <w:rPr>
          <w:rFonts w:ascii="Arial" w:hAnsi="Arial"/>
          <w:rtl w:val="0"/>
          <w:lang w:val="en-US"/>
        </w:rPr>
        <w:t xml:space="preserve">for 3 h. Viral stocks were stored at -80 </w:t>
      </w:r>
      <w:r>
        <w:rPr>
          <w:rFonts w:hint="default" w:ascii="Arial" w:hAnsi="Arial"/>
          <w:rtl w:val="0"/>
          <w:lang w:val="it-IT"/>
        </w:rPr>
        <w:t>°</w:t>
      </w:r>
      <w:r>
        <w:rPr>
          <w:rFonts w:ascii="Arial" w:hAnsi="Arial"/>
          <w:rtl w:val="0"/>
          <w:lang w:val="en-US"/>
        </w:rPr>
        <w:t xml:space="preserve">C. Transfection efficiency was validated by measuring the percentage of GFP(+) cells from barcoded HIV-infected HEK 293T cells by FACS analysis. </w:t>
      </w:r>
    </w:p>
    <w:p>
      <w:pPr>
        <w:pStyle w:val="8"/>
        <w:framePr w:w="0" w:hRule="auto" w:wrap="auto" w:vAnchor="margin" w:hAnchor="text" w:yAlign="inline"/>
        <w:suppressAutoHyphens w:val="0"/>
        <w:spacing w:after="0" w:line="360" w:lineRule="auto"/>
        <w:rPr>
          <w:rFonts w:ascii="Arial" w:hAnsi="Arial" w:eastAsia="Arial" w:cs="Arial"/>
          <w:shd w:val="clear" w:color="auto" w:fill="FFFFFF"/>
        </w:rPr>
      </w:pPr>
    </w:p>
    <w:p>
      <w:pPr>
        <w:pStyle w:val="8"/>
        <w:framePr w:w="0" w:hRule="auto" w:wrap="auto" w:vAnchor="margin" w:hAnchor="text" w:yAlign="inline"/>
        <w:suppressAutoHyphens w:val="0"/>
        <w:spacing w:after="0" w:line="360" w:lineRule="auto"/>
        <w:rPr>
          <w:rFonts w:ascii="Arial" w:hAnsi="Arial" w:eastAsia="Arial" w:cs="Arial"/>
        </w:rPr>
      </w:pPr>
      <w:r>
        <w:rPr>
          <w:rFonts w:ascii="Arial" w:hAnsi="Arial"/>
          <w:rtl w:val="0"/>
          <w:lang w:val="en-US"/>
        </w:rPr>
        <w:t xml:space="preserve">2 million primary CD4+ T cells in 24-well plates </w:t>
      </w:r>
      <w:r>
        <w:rPr>
          <w:rFonts w:ascii="Arial" w:hAnsi="Arial"/>
          <w:shd w:val="clear" w:color="auto" w:fill="FFFFFF"/>
          <w:rtl w:val="0"/>
          <w:lang w:val="en-US"/>
        </w:rPr>
        <w:t>were activated by</w:t>
      </w:r>
      <w:r>
        <w:rPr>
          <w:rFonts w:ascii="Arial" w:hAnsi="Arial"/>
          <w:shd w:val="clear" w:color="auto" w:fill="FFFFFF"/>
          <w:rtl w:val="0"/>
        </w:rPr>
        <w:t xml:space="preserve"> </w:t>
      </w:r>
      <w:r>
        <w:rPr>
          <w:rFonts w:ascii="Arial" w:hAnsi="Arial"/>
          <w:shd w:val="clear" w:color="auto" w:fill="FFFFFF"/>
          <w:rtl w:val="0"/>
          <w:lang w:val="ru-RU"/>
        </w:rPr>
        <w:t xml:space="preserve">1 </w:t>
      </w:r>
      <w:r>
        <w:rPr>
          <w:rFonts w:hint="default" w:ascii="Arial" w:hAnsi="Arial"/>
          <w:rtl w:val="0"/>
        </w:rPr>
        <w:t>µ</w:t>
      </w:r>
      <w:r>
        <w:rPr>
          <w:rFonts w:ascii="Arial" w:hAnsi="Arial"/>
          <w:rtl w:val="0"/>
        </w:rPr>
        <w:t xml:space="preserve">g/mL </w:t>
      </w:r>
      <w:r>
        <w:rPr>
          <w:rFonts w:ascii="Arial" w:hAnsi="Arial"/>
          <w:shd w:val="clear" w:color="auto" w:fill="FFFFFF"/>
          <w:rtl w:val="0"/>
        </w:rPr>
        <w:t xml:space="preserve">PHA (Remel Europe Ltd.) / 50 U/mL IL2 (Roch) </w:t>
      </w:r>
      <w:r>
        <w:rPr>
          <w:rFonts w:ascii="Arial" w:hAnsi="Arial"/>
          <w:shd w:val="clear" w:color="auto" w:fill="FFFFFF"/>
          <w:rtl w:val="0"/>
          <w:lang w:val="en-US"/>
        </w:rPr>
        <w:t>in a 1 mL volume 3 d before infection. Cells were infected by barcoded viral inocula with MOI around 0.1</w:t>
      </w:r>
      <w:r>
        <w:rPr>
          <w:rFonts w:ascii="Arial" w:hAnsi="Arial"/>
          <w:rtl w:val="0"/>
          <w:lang w:val="en-US"/>
        </w:rPr>
        <w:t>. The medium was replaced by 0.5</w:t>
      </w:r>
      <w:r>
        <w:rPr>
          <w:rFonts w:hint="default" w:ascii="Arial" w:hAnsi="Arial"/>
          <w:rtl w:val="0"/>
        </w:rPr>
        <w:t> </w:t>
      </w:r>
      <w:r>
        <w:rPr>
          <w:rFonts w:ascii="Arial" w:hAnsi="Arial"/>
          <w:rtl w:val="0"/>
          <w:lang w:val="en-US"/>
        </w:rPr>
        <w:t xml:space="preserve">mL fresh RPMI containing </w:t>
      </w:r>
      <w:r>
        <w:rPr>
          <w:rFonts w:ascii="Arial" w:hAnsi="Arial"/>
          <w:rtl w:val="0"/>
        </w:rPr>
        <w:t>IL2</w:t>
      </w:r>
      <w:r>
        <w:rPr>
          <w:rFonts w:ascii="Arial" w:hAnsi="Arial"/>
          <w:rtl w:val="0"/>
          <w:lang w:val="en-US"/>
        </w:rPr>
        <w:t xml:space="preserve"> d 3 post infection. The efficiency of infection was monitored d 4 post infection by FACS analysis</w:t>
      </w:r>
      <w:r>
        <w:rPr>
          <w:rFonts w:ascii="Arial" w:hAnsi="Arial"/>
          <w:rtl w:val="0"/>
        </w:rPr>
        <w:t xml:space="preserve"> (see </w:t>
      </w:r>
      <w:r>
        <w:rPr>
          <w:rFonts w:ascii="Arial" w:hAnsi="Arial"/>
          <w:b/>
          <w:bCs/>
          <w:rtl w:val="0"/>
          <w:lang w:val="de-DE"/>
        </w:rPr>
        <w:t xml:space="preserve">FACS </w:t>
      </w:r>
      <w:r>
        <w:rPr>
          <w:rFonts w:ascii="Arial" w:hAnsi="Arial"/>
          <w:b/>
          <w:bCs/>
          <w:rtl w:val="0"/>
        </w:rPr>
        <w:t xml:space="preserve">analysis </w:t>
      </w:r>
      <w:r>
        <w:rPr>
          <w:rFonts w:ascii="Arial" w:hAnsi="Arial"/>
          <w:rtl w:val="0"/>
        </w:rPr>
        <w:t>for detail). C</w:t>
      </w:r>
      <w:r>
        <w:rPr>
          <w:rFonts w:ascii="Arial" w:hAnsi="Arial"/>
          <w:rtl w:val="0"/>
          <w:lang w:val="en-US"/>
        </w:rPr>
        <w:t>ells were FACS</w:t>
      </w:r>
      <w:r>
        <w:rPr>
          <w:rFonts w:ascii="Arial" w:hAnsi="Arial"/>
          <w:rtl w:val="0"/>
        </w:rPr>
        <w:t>-</w:t>
      </w:r>
      <w:r>
        <w:rPr>
          <w:rFonts w:ascii="Arial" w:hAnsi="Arial"/>
          <w:rtl w:val="0"/>
          <w:lang w:val="en-US"/>
        </w:rPr>
        <w:t xml:space="preserve">sorted d 5 post infection and </w:t>
      </w:r>
      <w:r>
        <w:rPr>
          <w:rFonts w:ascii="Arial" w:hAnsi="Arial"/>
          <w:rtl w:val="0"/>
        </w:rPr>
        <w:t xml:space="preserve">immediately resuspended in 350 </w:t>
      </w:r>
      <w:r>
        <w:rPr>
          <w:rFonts w:hint="default" w:ascii="Arial" w:hAnsi="Arial"/>
          <w:rtl w:val="0"/>
        </w:rPr>
        <w:t>µ</w:t>
      </w:r>
      <w:r>
        <w:rPr>
          <w:rFonts w:ascii="Arial" w:hAnsi="Arial"/>
          <w:rtl w:val="0"/>
        </w:rPr>
        <w:t xml:space="preserve">L Buffer RLT (supplied in AllPrep DNA/RNA Mini Kit, </w:t>
      </w:r>
      <w:r>
        <w:rPr>
          <w:rFonts w:ascii="Arial" w:hAnsi="Arial"/>
          <w:shd w:val="clear" w:color="auto" w:fill="FFFFFF"/>
          <w:rtl w:val="0"/>
          <w:lang w:val="pt-PT"/>
        </w:rPr>
        <w:t>Qiagen</w:t>
      </w:r>
      <w:r>
        <w:rPr>
          <w:rFonts w:ascii="Arial" w:hAnsi="Arial"/>
          <w:rtl w:val="0"/>
        </w:rPr>
        <w:t xml:space="preserve">) containing 1% </w:t>
      </w:r>
      <w:r>
        <w:rPr>
          <w:rFonts w:hint="default" w:ascii="Arial" w:hAnsi="Arial"/>
          <w:rtl w:val="0"/>
        </w:rPr>
        <w:t>β</w:t>
      </w:r>
      <w:r>
        <w:rPr>
          <w:rFonts w:ascii="Arial" w:hAnsi="Arial"/>
          <w:rtl w:val="0"/>
        </w:rPr>
        <w:t>-mercaptoethanol (</w:t>
      </w:r>
      <w:r>
        <w:rPr>
          <w:rFonts w:hint="default" w:ascii="Arial" w:hAnsi="Arial"/>
          <w:rtl w:val="0"/>
        </w:rPr>
        <w:t>β</w:t>
      </w:r>
      <w:r>
        <w:rPr>
          <w:rFonts w:ascii="Arial" w:hAnsi="Arial"/>
          <w:rtl w:val="0"/>
        </w:rPr>
        <w:t xml:space="preserve">-ME) for DNA and RNA extraction (see </w:t>
      </w:r>
      <w:r>
        <w:rPr>
          <w:rFonts w:ascii="Arial" w:hAnsi="Arial"/>
          <w:b/>
          <w:bCs/>
          <w:rtl w:val="0"/>
        </w:rPr>
        <w:t xml:space="preserve">DNA extraction and inverse PCR </w:t>
      </w:r>
      <w:r>
        <w:rPr>
          <w:rFonts w:ascii="Arial" w:hAnsi="Arial"/>
          <w:rtl w:val="0"/>
        </w:rPr>
        <w:t>for detail).</w:t>
      </w:r>
    </w:p>
    <w:p>
      <w:pPr>
        <w:pStyle w:val="8"/>
        <w:framePr w:w="0" w:hRule="auto" w:wrap="auto" w:vAnchor="margin" w:hAnchor="text" w:yAlign="inline"/>
        <w:suppressAutoHyphens w:val="0"/>
        <w:spacing w:after="0" w:line="360" w:lineRule="auto"/>
        <w:rPr>
          <w:rFonts w:ascii="Arial" w:hAnsi="Arial" w:eastAsia="Arial" w:cs="Arial"/>
        </w:rPr>
      </w:pPr>
    </w:p>
    <w:p>
      <w:pPr>
        <w:pStyle w:val="8"/>
        <w:framePr w:w="0" w:hRule="auto" w:wrap="auto" w:vAnchor="margin" w:hAnchor="text" w:yAlign="inline"/>
        <w:suppressAutoHyphens w:val="0"/>
        <w:spacing w:after="0" w:line="360" w:lineRule="auto"/>
        <w:rPr>
          <w:rFonts w:ascii="Arial" w:hAnsi="Arial" w:eastAsia="Arial" w:cs="Arial"/>
        </w:rPr>
      </w:pPr>
      <w:r>
        <w:rPr>
          <w:rFonts w:ascii="Arial" w:hAnsi="Arial"/>
          <w:b/>
          <w:bCs/>
          <w:rtl w:val="0"/>
          <w:lang w:val="de-DE"/>
        </w:rPr>
        <w:t xml:space="preserve">FACS </w:t>
      </w:r>
      <w:r>
        <w:rPr>
          <w:rFonts w:ascii="Arial" w:hAnsi="Arial"/>
          <w:b/>
          <w:bCs/>
          <w:rtl w:val="0"/>
        </w:rPr>
        <w:t>analysis</w:t>
      </w:r>
      <w:r>
        <w:rPr>
          <w:rFonts w:ascii="Arial" w:hAnsi="Arial" w:eastAsia="Arial" w:cs="Arial"/>
          <w:rtl w:val="0"/>
        </w:rPr>
        <w:tab/>
      </w:r>
      <w:r>
        <w:rPr>
          <w:rFonts w:ascii="Arial" w:hAnsi="Arial" w:eastAsia="Arial" w:cs="Arial"/>
          <w:rtl w:val="0"/>
        </w:rPr>
        <w:t xml:space="preserve">  </w:t>
      </w:r>
      <w:r>
        <w:rPr>
          <w:rFonts w:ascii="Arial" w:hAnsi="Arial" w:eastAsia="Arial" w:cs="Arial"/>
          <w:rtl w:val="0"/>
        </w:rPr>
        <w:tab/>
      </w:r>
    </w:p>
    <w:p>
      <w:pPr>
        <w:pStyle w:val="8"/>
        <w:framePr w:w="0" w:hRule="auto" w:wrap="auto" w:vAnchor="margin" w:hAnchor="text" w:yAlign="inline"/>
        <w:suppressAutoHyphens w:val="0"/>
        <w:spacing w:after="0" w:line="360" w:lineRule="auto"/>
        <w:rPr>
          <w:rFonts w:ascii="Arial" w:hAnsi="Arial" w:eastAsia="Arial" w:cs="Arial"/>
          <w:shd w:val="clear" w:color="auto" w:fill="FFFFFF"/>
        </w:rPr>
      </w:pPr>
      <w:r>
        <w:rPr>
          <w:rFonts w:ascii="Arial" w:hAnsi="Arial"/>
          <w:rtl w:val="0"/>
          <w:lang w:val="en-US"/>
        </w:rPr>
        <w:t>Flow cytometry for validation of purity of CD4+ T cells and infection efficiency was performed on a MACSQuant Analyzer 16 (</w:t>
      </w:r>
      <w:r>
        <w:rPr>
          <w:rFonts w:ascii="Arial" w:hAnsi="Arial"/>
          <w:shd w:val="clear" w:color="auto" w:fill="FFFFFF"/>
          <w:rtl w:val="0"/>
        </w:rPr>
        <w:t>Miltenyi Biotec</w:t>
      </w:r>
      <w:r>
        <w:rPr>
          <w:rFonts w:ascii="Arial" w:hAnsi="Arial"/>
          <w:rtl w:val="0"/>
          <w:lang w:val="en-US"/>
        </w:rPr>
        <w:t xml:space="preserve">). Before FACS analysis, cells were washed and resuspended in 500 </w:t>
      </w:r>
      <w:r>
        <w:rPr>
          <w:rFonts w:hint="default" w:ascii="Arial" w:hAnsi="Arial"/>
          <w:rtl w:val="0"/>
        </w:rPr>
        <w:t>µ</w:t>
      </w:r>
      <w:r>
        <w:rPr>
          <w:rFonts w:ascii="Arial" w:hAnsi="Arial"/>
          <w:rtl w:val="0"/>
          <w:lang w:val="en-US"/>
        </w:rPr>
        <w:t>L phosphate</w:t>
      </w:r>
      <w:r>
        <w:rPr>
          <w:rFonts w:hint="default" w:ascii="Arial Unicode MS" w:hAnsi="Arial Unicode MS" w:eastAsia="Arial Unicode MS" w:cs="Arial Unicode MS"/>
          <w:b w:val="0"/>
          <w:bCs w:val="0"/>
          <w:i w:val="0"/>
          <w:iCs w:val="0"/>
          <w:rtl w:val="0"/>
        </w:rPr>
        <w:t>‐</w:t>
      </w:r>
      <w:r>
        <w:rPr>
          <w:rFonts w:ascii="Arial" w:hAnsi="Arial"/>
          <w:rtl w:val="0"/>
          <w:lang w:val="en-US"/>
        </w:rPr>
        <w:t xml:space="preserve">buffered saline (PBS) containing 2 % fetal bovine serum and 2 mM EDTA and centrifuged at 400 g at room temperature for 5 min. Discard supernatant. Pellets were resuspended in 100 </w:t>
      </w:r>
      <w:r>
        <w:rPr>
          <w:rFonts w:hint="default" w:ascii="Arial" w:hAnsi="Arial"/>
          <w:rtl w:val="0"/>
        </w:rPr>
        <w:t>µ</w:t>
      </w:r>
      <w:r>
        <w:rPr>
          <w:rFonts w:ascii="Arial" w:hAnsi="Arial"/>
          <w:rtl w:val="0"/>
          <w:lang w:val="en-US"/>
        </w:rPr>
        <w:t xml:space="preserve">L PBS containing 2 % fetal bovine serum, 2 mM EDTA, 5 </w:t>
      </w:r>
      <w:r>
        <w:rPr>
          <w:rFonts w:hint="default" w:ascii="Arial" w:hAnsi="Arial"/>
          <w:rtl w:val="0"/>
        </w:rPr>
        <w:t>µ</w:t>
      </w:r>
      <w:r>
        <w:rPr>
          <w:rFonts w:ascii="Arial" w:hAnsi="Arial"/>
          <w:rtl w:val="0"/>
          <w:lang w:val="en-US"/>
        </w:rPr>
        <w:t xml:space="preserve">L anti-human CD3 (BioLegend) and 5 </w:t>
      </w:r>
      <w:r>
        <w:rPr>
          <w:rFonts w:hint="default" w:ascii="Arial" w:hAnsi="Arial"/>
          <w:rtl w:val="0"/>
        </w:rPr>
        <w:t>µ</w:t>
      </w:r>
      <w:r>
        <w:rPr>
          <w:rFonts w:ascii="Arial" w:hAnsi="Arial"/>
          <w:rtl w:val="0"/>
          <w:lang w:val="en-US"/>
        </w:rPr>
        <w:t xml:space="preserve">L anti-human CD4 (SONY) at room temperature for 20 min. Cells were washed again using 500 </w:t>
      </w:r>
      <w:r>
        <w:rPr>
          <w:rFonts w:hint="default" w:ascii="Arial" w:hAnsi="Arial"/>
          <w:rtl w:val="0"/>
        </w:rPr>
        <w:t>µ</w:t>
      </w:r>
      <w:r>
        <w:rPr>
          <w:rFonts w:ascii="Arial" w:hAnsi="Arial"/>
          <w:rtl w:val="0"/>
          <w:lang w:val="en-US"/>
        </w:rPr>
        <w:t>L phosphate</w:t>
      </w:r>
      <w:r>
        <w:rPr>
          <w:rFonts w:hint="default" w:ascii="Arial Unicode MS" w:hAnsi="Arial Unicode MS" w:eastAsia="Arial Unicode MS" w:cs="Arial Unicode MS"/>
          <w:b w:val="0"/>
          <w:bCs w:val="0"/>
          <w:i w:val="0"/>
          <w:iCs w:val="0"/>
          <w:rtl w:val="0"/>
        </w:rPr>
        <w:t>‐</w:t>
      </w:r>
      <w:r>
        <w:rPr>
          <w:rFonts w:ascii="Arial" w:hAnsi="Arial"/>
          <w:rtl w:val="0"/>
          <w:lang w:val="en-US"/>
        </w:rPr>
        <w:t xml:space="preserve">buffered saline (PBS) containing 2 % fetal bovine serum and 2 mM EDTA and centrifuged at 400 g at room temperature for 5 min. Pellets were resuspended in 1% </w:t>
      </w:r>
      <w:r>
        <w:rPr>
          <w:rFonts w:ascii="Arial" w:hAnsi="Arial"/>
          <w:shd w:val="clear" w:color="auto" w:fill="FFFFFF"/>
          <w:rtl w:val="0"/>
        </w:rPr>
        <w:t>perfluoroalkoxy alkanes (PFA)</w:t>
      </w:r>
      <w:r>
        <w:rPr>
          <w:rFonts w:ascii="Arial" w:hAnsi="Arial"/>
          <w:shd w:val="clear" w:color="auto" w:fill="FFFFFF"/>
          <w:rtl w:val="0"/>
          <w:lang w:val="en-US"/>
        </w:rPr>
        <w:t xml:space="preserve"> for FACS analysis.</w:t>
      </w:r>
    </w:p>
    <w:p>
      <w:pPr>
        <w:pStyle w:val="8"/>
        <w:framePr w:w="0" w:hRule="auto" w:wrap="auto" w:vAnchor="margin" w:hAnchor="text" w:yAlign="inline"/>
        <w:suppressAutoHyphens w:val="0"/>
        <w:spacing w:after="0" w:line="360" w:lineRule="auto"/>
        <w:rPr>
          <w:rFonts w:ascii="Arial" w:hAnsi="Arial" w:eastAsia="Arial" w:cs="Arial"/>
          <w:shd w:val="clear" w:color="auto" w:fill="FFFFFF"/>
        </w:rPr>
      </w:pPr>
    </w:p>
    <w:p>
      <w:pPr>
        <w:pStyle w:val="8"/>
        <w:framePr w:w="0" w:hRule="auto" w:wrap="auto" w:vAnchor="margin" w:hAnchor="text" w:yAlign="inline"/>
        <w:suppressAutoHyphens w:val="0"/>
        <w:spacing w:after="0" w:line="360" w:lineRule="auto"/>
        <w:rPr>
          <w:rFonts w:ascii="Arial" w:hAnsi="Arial" w:eastAsia="Arial" w:cs="Arial"/>
          <w:shd w:val="clear" w:color="auto" w:fill="FFFFFF"/>
        </w:rPr>
      </w:pPr>
      <w:r>
        <w:rPr>
          <w:rFonts w:ascii="Arial" w:hAnsi="Arial"/>
          <w:b/>
          <w:bCs/>
          <w:rtl w:val="0"/>
        </w:rPr>
        <w:t>DNA extraction and inverse PCR</w:t>
      </w:r>
    </w:p>
    <w:p>
      <w:pPr>
        <w:pStyle w:val="8"/>
        <w:framePr w:w="0" w:hRule="auto" w:wrap="auto" w:vAnchor="margin" w:hAnchor="text" w:yAlign="inline"/>
        <w:suppressAutoHyphens w:val="0"/>
        <w:spacing w:after="0" w:line="360" w:lineRule="auto"/>
        <w:rPr>
          <w:rFonts w:ascii="Arial" w:hAnsi="Arial" w:eastAsia="Arial" w:cs="Arial"/>
          <w:shd w:val="clear" w:color="auto" w:fill="FFFFFF"/>
        </w:rPr>
      </w:pPr>
      <w:r>
        <w:rPr>
          <w:rFonts w:ascii="Arial" w:hAnsi="Arial"/>
          <w:shd w:val="clear" w:color="auto" w:fill="FFFFFF"/>
          <w:rtl w:val="0"/>
        </w:rPr>
        <w:t xml:space="preserve">Genomic DNA from barcoded HIV-infected primary CD4+ T cells was </w:t>
      </w:r>
      <w:r>
        <w:rPr>
          <w:rFonts w:ascii="Arial" w:hAnsi="Arial"/>
          <w:shd w:val="clear" w:color="auto" w:fill="FFFFFF"/>
          <w:rtl w:val="0"/>
          <w:lang w:val="en-US"/>
        </w:rPr>
        <w:t>with the AllPrep DNA/RNA Mi</w:t>
      </w:r>
      <w:r>
        <w:rPr>
          <w:rFonts w:ascii="Arial" w:hAnsi="Arial"/>
          <w:shd w:val="clear" w:color="auto" w:fill="FFFFFF"/>
          <w:rtl w:val="0"/>
        </w:rPr>
        <w:t xml:space="preserve">mi Kit (Qiagen) in a final 50 </w:t>
      </w:r>
      <w:r>
        <w:rPr>
          <w:rFonts w:hint="default" w:ascii="Arial" w:hAnsi="Arial"/>
          <w:shd w:val="clear" w:color="auto" w:fill="FFFFFF"/>
          <w:rtl w:val="0"/>
        </w:rPr>
        <w:t>µ</w:t>
      </w:r>
      <w:r>
        <w:rPr>
          <w:rFonts w:ascii="Arial" w:hAnsi="Arial"/>
          <w:shd w:val="clear" w:color="auto" w:fill="FFFFFF"/>
          <w:rtl w:val="0"/>
        </w:rPr>
        <w:t xml:space="preserve">L volume. 50 </w:t>
      </w:r>
      <w:r>
        <w:rPr>
          <w:rFonts w:hint="default" w:ascii="Arial" w:hAnsi="Arial"/>
          <w:shd w:val="clear" w:color="auto" w:fill="FFFFFF"/>
          <w:rtl w:val="0"/>
        </w:rPr>
        <w:t>µ</w:t>
      </w:r>
      <w:r>
        <w:rPr>
          <w:rFonts w:ascii="Arial" w:hAnsi="Arial"/>
          <w:shd w:val="clear" w:color="auto" w:fill="FFFFFF"/>
          <w:rtl w:val="0"/>
        </w:rPr>
        <w:t xml:space="preserve">L genome DNA was split into two proportion to prepare the libraries followed by high-throughput sequencing to identify HIV integration sites. The same B-HIVE protocol (Chen et al., 2017; Chen et al., 2018) was used. Of note, 50 </w:t>
      </w:r>
      <w:r>
        <w:rPr>
          <w:rFonts w:hint="default" w:ascii="Arial" w:hAnsi="Arial"/>
          <w:shd w:val="clear" w:color="auto" w:fill="FFFFFF"/>
          <w:rtl w:val="0"/>
        </w:rPr>
        <w:t>µ</w:t>
      </w:r>
      <w:r>
        <w:rPr>
          <w:rFonts w:ascii="Arial" w:hAnsi="Arial"/>
          <w:shd w:val="clear" w:color="auto" w:fill="FFFFFF"/>
          <w:rtl w:val="0"/>
        </w:rPr>
        <w:t xml:space="preserve">L of the products from first round of nested PCR were split into five proportions, with which five independent second round of nested PCR were performed. Eventually, the PCR products with same indices were pooled for high-throughput sequencing. </w:t>
      </w:r>
      <w:r>
        <w:rPr>
          <w:rFonts w:ascii="Arial" w:hAnsi="Arial"/>
          <w:rtl w:val="0"/>
          <w:lang w:val="en-US"/>
        </w:rPr>
        <w:t xml:space="preserve">The sequence of each primer is described in </w:t>
      </w:r>
      <w:r>
        <w:rPr>
          <w:rFonts w:ascii="Arial" w:hAnsi="Arial"/>
          <w:b/>
          <w:bCs/>
          <w:color w:val="FF0000"/>
          <w:u w:color="FF0000"/>
          <w:rtl w:val="0"/>
          <w:lang w:val="fr-FR"/>
        </w:rPr>
        <w:t>Table X</w:t>
      </w:r>
      <w:r>
        <w:rPr>
          <w:rFonts w:ascii="Arial" w:hAnsi="Arial"/>
          <w:rtl w:val="0"/>
        </w:rPr>
        <w:t xml:space="preserve">. </w:t>
      </w:r>
      <w:r>
        <w:rPr>
          <w:rFonts w:ascii="Arial" w:hAnsi="Arial"/>
          <w:shd w:val="clear" w:color="auto" w:fill="FFFFFF"/>
          <w:rtl w:val="0"/>
        </w:rPr>
        <w:t xml:space="preserve">Integration sites retrieved from the B-HIVE technology are referred to as </w:t>
      </w:r>
      <w:r>
        <w:rPr>
          <w:rFonts w:hint="default" w:ascii="Arial" w:hAnsi="Arial"/>
          <w:shd w:val="clear" w:color="auto" w:fill="FFFFFF"/>
          <w:rtl w:val="0"/>
        </w:rPr>
        <w:t>“</w:t>
      </w:r>
      <w:r>
        <w:rPr>
          <w:rFonts w:ascii="Arial" w:hAnsi="Arial"/>
          <w:shd w:val="clear" w:color="auto" w:fill="FFFFFF"/>
          <w:rtl w:val="0"/>
        </w:rPr>
        <w:t>De novo EC IS</w:t>
      </w:r>
      <w:r>
        <w:rPr>
          <w:rFonts w:hint="default" w:ascii="Arial" w:hAnsi="Arial"/>
          <w:shd w:val="clear" w:color="auto" w:fill="FFFFFF"/>
          <w:rtl w:val="0"/>
        </w:rPr>
        <w:t xml:space="preserve">” </w:t>
      </w:r>
      <w:r>
        <w:rPr>
          <w:rFonts w:ascii="Arial" w:hAnsi="Arial"/>
          <w:shd w:val="clear" w:color="auto" w:fill="FFFFFF"/>
          <w:rtl w:val="0"/>
        </w:rPr>
        <w:t xml:space="preserve">and </w:t>
      </w:r>
      <w:r>
        <w:rPr>
          <w:rFonts w:hint="default" w:ascii="Arial" w:hAnsi="Arial"/>
          <w:shd w:val="clear" w:color="auto" w:fill="FFFFFF"/>
          <w:rtl w:val="0"/>
        </w:rPr>
        <w:t>“</w:t>
      </w:r>
      <w:r>
        <w:rPr>
          <w:rFonts w:ascii="Arial" w:hAnsi="Arial"/>
          <w:shd w:val="clear" w:color="auto" w:fill="FFFFFF"/>
          <w:rtl w:val="0"/>
        </w:rPr>
        <w:t>De novo HD IS</w:t>
      </w:r>
      <w:r>
        <w:rPr>
          <w:rFonts w:hint="default" w:ascii="Arial" w:hAnsi="Arial"/>
          <w:shd w:val="clear" w:color="auto" w:fill="FFFFFF"/>
          <w:rtl w:val="0"/>
        </w:rPr>
        <w:t xml:space="preserve">” </w:t>
      </w:r>
      <w:r>
        <w:rPr>
          <w:rFonts w:ascii="Arial" w:hAnsi="Arial"/>
          <w:shd w:val="clear" w:color="auto" w:fill="FFFFFF"/>
          <w:rtl w:val="0"/>
        </w:rPr>
        <w:t>in this study.</w:t>
      </w:r>
    </w:p>
    <w:p>
      <w:pPr>
        <w:pStyle w:val="8"/>
        <w:framePr w:w="0" w:hRule="auto" w:wrap="auto" w:vAnchor="margin" w:hAnchor="text" w:yAlign="inline"/>
        <w:suppressAutoHyphens w:val="0"/>
        <w:spacing w:after="0" w:line="360" w:lineRule="auto"/>
        <w:rPr>
          <w:rFonts w:ascii="Arial" w:hAnsi="Arial" w:eastAsia="Arial" w:cs="Arial"/>
        </w:rPr>
      </w:pPr>
    </w:p>
    <w:p>
      <w:pPr>
        <w:pStyle w:val="8"/>
        <w:framePr w:w="0" w:hRule="auto" w:wrap="auto" w:vAnchor="margin" w:hAnchor="text" w:yAlign="inline"/>
        <w:suppressAutoHyphens w:val="0"/>
        <w:spacing w:after="0" w:line="360" w:lineRule="auto"/>
        <w:rPr>
          <w:rFonts w:ascii="Arial" w:hAnsi="Arial" w:eastAsia="Arial" w:cs="Arial"/>
        </w:rPr>
      </w:pPr>
      <w:r>
        <w:rPr>
          <w:rFonts w:ascii="Arial" w:hAnsi="Arial"/>
          <w:b/>
          <w:bCs/>
          <w:rtl w:val="0"/>
        </w:rPr>
        <w:t>m</w:t>
      </w:r>
      <w:r>
        <w:rPr>
          <w:rFonts w:ascii="Arial" w:hAnsi="Arial"/>
          <w:b/>
          <w:bCs/>
          <w:rtl w:val="0"/>
          <w:lang w:val="en-US"/>
        </w:rPr>
        <w:t>RNA purification and whole transcriptome amplification</w:t>
      </w:r>
      <w:r>
        <w:rPr>
          <w:rFonts w:ascii="Arial" w:hAnsi="Arial" w:eastAsia="Arial" w:cs="Arial"/>
          <w:rtl w:val="0"/>
        </w:rPr>
        <w:tab/>
      </w:r>
      <w:r>
        <w:rPr>
          <w:rFonts w:ascii="Arial" w:hAnsi="Arial" w:eastAsia="Arial" w:cs="Arial"/>
          <w:rtl w:val="0"/>
        </w:rPr>
        <w:t xml:space="preserve"> </w:t>
      </w:r>
      <w:r>
        <w:rPr>
          <w:rFonts w:ascii="Arial" w:hAnsi="Arial" w:eastAsia="Arial" w:cs="Arial"/>
          <w:rtl w:val="0"/>
        </w:rPr>
        <w:tab/>
      </w:r>
      <w:r>
        <w:rPr>
          <w:rFonts w:ascii="Arial" w:hAnsi="Arial" w:eastAsia="Arial" w:cs="Arial"/>
          <w:rtl w:val="0"/>
        </w:rPr>
        <w:t xml:space="preserve"> </w:t>
      </w:r>
      <w:r>
        <w:rPr>
          <w:rFonts w:ascii="Arial" w:hAnsi="Arial" w:eastAsia="Arial" w:cs="Arial"/>
          <w:rtl w:val="0"/>
        </w:rPr>
        <w:tab/>
      </w:r>
    </w:p>
    <w:p>
      <w:pPr>
        <w:pStyle w:val="8"/>
        <w:framePr w:w="0" w:hRule="auto" w:wrap="auto" w:vAnchor="margin" w:hAnchor="text" w:yAlign="inline"/>
        <w:suppressAutoHyphens w:val="0"/>
        <w:spacing w:after="0" w:line="360" w:lineRule="auto"/>
        <w:rPr>
          <w:rFonts w:ascii="Arial" w:hAnsi="Arial" w:eastAsia="Arial" w:cs="Arial"/>
        </w:rPr>
      </w:pPr>
      <w:r>
        <w:rPr>
          <w:rFonts w:ascii="Arial" w:hAnsi="Arial"/>
          <w:rtl w:val="0"/>
          <w:lang w:val="en-US"/>
        </w:rPr>
        <w:t>Total RNA from infected cell pools was extracted with the AllPrep DNA/RNA Micro Kit (Qiagen) and</w:t>
      </w:r>
      <w:r>
        <w:rPr>
          <w:rFonts w:ascii="Arial" w:hAnsi="Arial"/>
          <w:rtl w:val="0"/>
        </w:rPr>
        <w:t xml:space="preserve"> mRNA was purified from total RNA with an Oligotex mRNA Mini Kit (Qiagen).  Amplification of RNA and DNA barcodes followed by high-throughput sequencing was performed based on the previous protocol </w:t>
      </w:r>
      <w:r>
        <w:rPr>
          <w:rFonts w:ascii="Arial" w:hAnsi="Arial"/>
          <w:shd w:val="clear" w:color="auto" w:fill="FFFFFF"/>
          <w:rtl w:val="0"/>
        </w:rPr>
        <w:t>(Chen et al., 2017; Chen et al., 2018)</w:t>
      </w:r>
      <w:r>
        <w:rPr>
          <w:rFonts w:ascii="Arial" w:hAnsi="Arial"/>
          <w:rtl w:val="0"/>
        </w:rPr>
        <w:t xml:space="preserve">. </w:t>
      </w:r>
      <w:r>
        <w:rPr>
          <w:rFonts w:ascii="Arial" w:hAnsi="Arial"/>
          <w:rtl w:val="0"/>
          <w:lang w:val="en-US"/>
        </w:rPr>
        <w:t xml:space="preserve">The sequence of each primer is described in </w:t>
      </w:r>
      <w:r>
        <w:rPr>
          <w:rFonts w:ascii="Arial" w:hAnsi="Arial"/>
          <w:b/>
          <w:bCs/>
          <w:color w:val="FF0000"/>
          <w:u w:color="FF0000"/>
          <w:rtl w:val="0"/>
          <w:lang w:val="fr-FR"/>
        </w:rPr>
        <w:t>Table X</w:t>
      </w:r>
      <w:r>
        <w:rPr>
          <w:rFonts w:ascii="Arial" w:hAnsi="Arial"/>
          <w:rtl w:val="0"/>
        </w:rPr>
        <w:t>.</w:t>
      </w:r>
    </w:p>
    <w:p>
      <w:pPr>
        <w:pStyle w:val="8"/>
        <w:framePr w:w="0" w:hRule="auto" w:wrap="auto" w:vAnchor="margin" w:hAnchor="text" w:yAlign="inline"/>
        <w:suppressAutoHyphens w:val="0"/>
        <w:spacing w:after="0" w:line="360" w:lineRule="auto"/>
        <w:rPr>
          <w:rFonts w:ascii="Arial" w:hAnsi="Arial" w:eastAsia="Arial" w:cs="Arial"/>
        </w:rPr>
      </w:pPr>
    </w:p>
    <w:p>
      <w:pPr>
        <w:pStyle w:val="8"/>
        <w:framePr w:w="0" w:hRule="auto" w:wrap="auto" w:vAnchor="margin" w:hAnchor="text" w:yAlign="inline"/>
        <w:spacing w:after="0" w:line="360" w:lineRule="auto"/>
        <w:outlineLvl w:val="0"/>
        <w:rPr>
          <w:b/>
          <w:bCs/>
        </w:rPr>
      </w:pPr>
      <w:r>
        <w:rPr>
          <w:b/>
          <w:bCs/>
          <w:rtl w:val="0"/>
          <w:lang w:val="de-DE"/>
        </w:rPr>
        <w:t>HIV-1 Integration Site position (IS)</w:t>
      </w:r>
      <w:r>
        <w:rPr>
          <w:b/>
          <w:bCs/>
          <w:rtl w:val="0"/>
        </w:rPr>
        <w:t xml:space="preserve"> from HIV-1-infected elite controllers and HIV-1-infected individuals receiving cART treatment</w:t>
      </w:r>
    </w:p>
    <w:p>
      <w:pPr>
        <w:pStyle w:val="8"/>
        <w:framePr w:w="0" w:hRule="auto" w:wrap="auto" w:vAnchor="margin" w:hAnchor="text" w:yAlign="inline"/>
        <w:spacing w:after="0" w:line="360" w:lineRule="auto"/>
      </w:pPr>
      <w:r>
        <w:rPr>
          <w:rtl w:val="0"/>
          <w:lang w:val="en-US"/>
        </w:rPr>
        <w:t xml:space="preserve">Integration sites from </w:t>
      </w:r>
      <w:r>
        <w:rPr>
          <w:rtl w:val="0"/>
        </w:rPr>
        <w:t>HIV-1-infected elite controllers collected from Jiang et al. (2020) (Jiang et al. 2020) were referred to as “Long term EC IS” in this study. Of note, integration sites present in the same position from the same study patient were considered as an identical provirus at the analytical step.</w:t>
      </w:r>
    </w:p>
    <w:p>
      <w:pPr>
        <w:pStyle w:val="8"/>
        <w:framePr w:w="0" w:hRule="auto" w:wrap="auto" w:vAnchor="margin" w:hAnchor="text" w:yAlign="inline"/>
        <w:spacing w:after="0" w:line="360" w:lineRule="auto"/>
      </w:pPr>
    </w:p>
    <w:p>
      <w:pPr>
        <w:pStyle w:val="8"/>
        <w:framePr w:w="0" w:hRule="auto" w:wrap="auto" w:vAnchor="margin" w:hAnchor="text" w:yAlign="inline"/>
        <w:spacing w:after="0" w:line="360" w:lineRule="auto"/>
        <w:rPr>
          <w:rtl w:val="0"/>
        </w:rPr>
      </w:pPr>
      <w:r>
        <w:rPr>
          <w:rtl w:val="0"/>
        </w:rPr>
        <w:t>Integration sites from HIV-1-infected individuals receiving cART treatment collected from Einkauf et al. (2022) (Einkauf et al. 2022) were referred to as “cART IS untreat”, “cART IS short treatment” and “cART IS long treatment” depending on the period of cART treatment: short treatment is referred to as the treatment no more than 1 yr; long treatment is referred to as the treatment is more than 1 yr. “cART all IS” is referred to all IS from cART-treated individuals disregarding of the period of the treatment.</w:t>
      </w:r>
    </w:p>
    <w:p>
      <w:pPr>
        <w:pStyle w:val="8"/>
        <w:framePr w:w="0" w:hRule="auto" w:wrap="auto" w:vAnchor="margin" w:hAnchor="text" w:yAlign="inline"/>
        <w:spacing w:after="0" w:line="360" w:lineRule="auto"/>
        <w:rPr>
          <w:rFonts w:hint="default"/>
          <w:highlight w:val="yellow"/>
          <w:rtl w:val="0"/>
        </w:rPr>
      </w:pPr>
      <w:r>
        <w:rPr>
          <w:rFonts w:hint="default"/>
          <w:highlight w:val="yellow"/>
          <w:rtl w:val="0"/>
        </w:rPr>
        <w:t>We use also the IS from cART treated individual from Maldarelli et al., 2014 and Wargner et al., 2014 paper, PMID: 24968937 and 25011556 respectively</w:t>
      </w:r>
    </w:p>
    <w:p>
      <w:pPr>
        <w:pStyle w:val="8"/>
        <w:framePr w:w="0" w:hRule="auto" w:wrap="auto" w:vAnchor="margin" w:hAnchor="text" w:yAlign="inline"/>
        <w:spacing w:after="0" w:line="360" w:lineRule="auto"/>
        <w:rPr>
          <w:rFonts w:hint="default"/>
          <w:highlight w:val="yellow"/>
          <w:rtl w:val="0"/>
        </w:rPr>
      </w:pPr>
      <w:r>
        <w:rPr>
          <w:rFonts w:hint="default"/>
          <w:highlight w:val="yellow"/>
          <w:rtl w:val="0"/>
        </w:rPr>
        <w:t>Maldarelli</w:t>
      </w:r>
    </w:p>
    <w:p>
      <w:pPr>
        <w:pStyle w:val="8"/>
        <w:framePr w:w="0" w:hRule="auto" w:wrap="auto" w:vAnchor="margin" w:hAnchor="text" w:yAlign="inline"/>
        <w:spacing w:after="0" w:line="360" w:lineRule="auto"/>
        <w:outlineLvl w:val="0"/>
      </w:pPr>
    </w:p>
    <w:p>
      <w:pPr>
        <w:pStyle w:val="8"/>
        <w:framePr w:w="0" w:hRule="auto" w:wrap="auto" w:vAnchor="margin" w:hAnchor="text" w:yAlign="inline"/>
        <w:spacing w:after="0" w:line="360" w:lineRule="auto"/>
        <w:outlineLvl w:val="0"/>
        <w:rPr>
          <w:b/>
          <w:bCs/>
        </w:rPr>
      </w:pPr>
      <w:r>
        <w:rPr>
          <w:b/>
          <w:bCs/>
          <w:rtl w:val="0"/>
          <w:lang w:val="en-US"/>
        </w:rPr>
        <w:t>Transient Transcriptome sequencing in Resting and activated CD4 T cells from healthy donors</w:t>
      </w:r>
    </w:p>
    <w:p>
      <w:pPr>
        <w:pStyle w:val="8"/>
        <w:framePr w:w="0" w:hRule="auto" w:wrap="auto" w:vAnchor="margin" w:hAnchor="text" w:yAlign="inline"/>
        <w:spacing w:after="0" w:line="360" w:lineRule="auto"/>
      </w:pPr>
      <w:r>
        <w:rPr>
          <w:rtl w:val="0"/>
          <w:lang w:val="en-US"/>
        </w:rPr>
        <w:t>TT-seq library construction was done using protocol from (Schwalb et al., 2016). Briefly, purified CD4+ T</w:t>
      </w:r>
      <w:r>
        <w:rPr>
          <w:rtl w:val="0"/>
        </w:rPr>
        <w:t xml:space="preserve"> </w:t>
      </w:r>
      <w:r>
        <w:rPr>
          <w:rtl w:val="0"/>
          <w:lang w:val="en-US"/>
        </w:rPr>
        <w:t>cells were labeled in culture media for 5 min with 500</w:t>
      </w:r>
      <w:r>
        <w:rPr>
          <w:rtl w:val="0"/>
        </w:rPr>
        <w:t>µ</w:t>
      </w:r>
      <w:r>
        <w:rPr>
          <w:rtl w:val="0"/>
          <w:lang w:val="en-US"/>
        </w:rPr>
        <w:t>M 4-thiouridine (4sU, Sigma-Aldrich). Cells were harvested, spike-ins were added, RNA was purified using QIAzol lysis reagent (Qiagen) and fragmented on Bio-Ruptor with a High setting for one cycle 30s ON - 30s OFF. Fragmentation efficiency was analyzed on the Agilent Bioanalyzer 2100 with an RNA 6000 Pico kit (Agilent Technologies). Fragmented RNA was biotinylated with Biotin-HPDP EZ link (Thermo Fisher Scientific) and purified with chloroform and precipitated with isopropanol. Biotinylated RNA labeled with Streptavidin beads (</w:t>
      </w:r>
      <w:r>
        <w:rPr>
          <w:rtl w:val="0"/>
        </w:rPr>
        <w:t xml:space="preserve">µMacs Streptavidin Kit – </w:t>
      </w:r>
      <w:r>
        <w:rPr>
          <w:rtl w:val="0"/>
          <w:lang w:val="en-US"/>
        </w:rPr>
        <w:t xml:space="preserve">Miltenyi Biotec.) with a ratio of 1:1 then purified on </w:t>
      </w:r>
      <w:r>
        <w:rPr>
          <w:rtl w:val="0"/>
        </w:rPr>
        <w:t>µ</w:t>
      </w:r>
      <w:r>
        <w:rPr>
          <w:rtl w:val="0"/>
          <w:lang w:val="en-US"/>
        </w:rPr>
        <w:t>MACs columns (Miltenyi Biotec). RNA cleaning was done with Agencourt RNAclean XP beads (Beckman Coulter) with a ratio 1</w:t>
      </w:r>
      <w:r>
        <w:rPr>
          <w:rtl w:val="0"/>
        </w:rPr>
        <w:t>.8:1. Sequencing libraries were prepared with the Ovation Universal RNA-seq library Kit (NuGEN) following the manufacturer's instructions. Libraries were paired-end sequenced (50bp) on an Illumina HiSeq 2500.</w:t>
      </w:r>
    </w:p>
    <w:p>
      <w:pPr>
        <w:pStyle w:val="8"/>
        <w:framePr w:w="0" w:hRule="auto" w:wrap="auto" w:vAnchor="margin" w:hAnchor="text" w:yAlign="inline"/>
        <w:spacing w:after="0" w:line="360" w:lineRule="auto"/>
      </w:pPr>
    </w:p>
    <w:p>
      <w:pPr>
        <w:pStyle w:val="8"/>
        <w:framePr w:w="0" w:hRule="auto" w:wrap="auto" w:vAnchor="margin" w:hAnchor="text" w:yAlign="inline"/>
        <w:spacing w:after="0" w:line="360" w:lineRule="auto"/>
      </w:pPr>
      <w:r>
        <w:rPr>
          <w:rtl w:val="0"/>
          <w:lang w:val="en-US"/>
        </w:rPr>
        <w:t>Reads were mapped to human genome GRCh37 (ftp://ftp.ensembl.org/pub/release-75/fasta/homo_sapiens/dna/) using STAR (version STAR_2.5.1b_modified)</w:t>
      </w:r>
      <w:r>
        <w:rPr>
          <w:rtl w:val="0"/>
        </w:rPr>
        <w:t xml:space="preserve"> (Dobin et al., 2013) </w:t>
      </w:r>
      <w:r>
        <w:rPr>
          <w:rtl w:val="0"/>
          <w:lang w:val="en-US"/>
        </w:rPr>
        <w:t>with default parameters. Annotations from ENSEMBL (GRCh37 release 75) were used for genome indexing with STAR before mapping. We used RSEM</w:t>
      </w:r>
      <w:r>
        <w:rPr>
          <w:rtl w:val="0"/>
        </w:rPr>
        <w:t xml:space="preserve"> (v1.2.29) </w:t>
      </w:r>
      <w:r>
        <w:rPr>
          <w:rtl w:val="0"/>
          <w:lang w:val="en-US"/>
        </w:rPr>
        <w:t xml:space="preserve">(B. Li &amp; Dewey, 2011) to compute Transcripts Per Million (TPM) values of all annotated Transcripts: </w:t>
      </w:r>
    </w:p>
    <w:p>
      <w:pPr>
        <w:pStyle w:val="8"/>
        <w:framePr w:w="0" w:hRule="auto" w:wrap="auto" w:vAnchor="margin" w:hAnchor="text" w:yAlign="inline"/>
        <w:spacing w:after="0" w:line="360" w:lineRule="auto"/>
      </w:pPr>
      <w:r>
        <w:rPr>
          <w:rtl w:val="0"/>
          <w:lang w:val="en-US"/>
        </w:rPr>
        <w:t>rsem-calculate-expression --paired-end --star --estimate-rspd --append-names --star-gzipped-read-file --strand-specific --forward-prob 1 --time --calc-pme -calc-ci</w:t>
      </w:r>
    </w:p>
    <w:p>
      <w:pPr>
        <w:pStyle w:val="8"/>
        <w:framePr w:w="0" w:hRule="auto" w:wrap="auto" w:vAnchor="margin" w:hAnchor="text" w:yAlign="inline"/>
        <w:spacing w:after="0" w:line="360" w:lineRule="auto"/>
      </w:pPr>
    </w:p>
    <w:p>
      <w:pPr>
        <w:pStyle w:val="8"/>
        <w:framePr w:w="0" w:hRule="auto" w:wrap="auto" w:vAnchor="margin" w:hAnchor="text" w:yAlign="inline"/>
        <w:spacing w:after="0" w:line="360" w:lineRule="auto"/>
      </w:pPr>
      <w:r>
        <w:rPr>
          <w:rtl w:val="0"/>
          <w:lang w:val="en-US"/>
        </w:rPr>
        <w:t>To fix thresholds of transcription we use control genes known to be expressed or not expressed in the same cell types used in this study (</w:t>
      </w:r>
      <w:r>
        <w:rPr>
          <w:color w:val="FF2600"/>
          <w:rtl w:val="0"/>
          <w:lang w:val="en-US"/>
        </w:rPr>
        <w:t>Supplementary</w:t>
      </w:r>
      <w:r>
        <w:rPr>
          <w:rtl w:val="0"/>
          <w:lang w:val="en-US"/>
        </w:rPr>
        <w:t>). Based on the value of TPM of control genes we empirically set this value to 6 TPM. Differential expression was assessed using featureCount</w:t>
      </w:r>
      <w:r>
        <w:rPr>
          <w:rtl w:val="0"/>
        </w:rPr>
        <w:t xml:space="preserve"> (v1.5.1) (</w:t>
      </w:r>
      <w:r>
        <w:rPr>
          <w:shd w:val="clear" w:color="auto" w:fill="FFFFFF"/>
          <w:rtl w:val="0"/>
        </w:rPr>
        <w:t>Liao et al., 2014</w:t>
      </w:r>
      <w:r>
        <w:rPr>
          <w:rtl w:val="0"/>
          <w:lang w:val="en-US"/>
        </w:rPr>
        <w:t>) and DESeq2</w:t>
      </w:r>
      <w:r>
        <w:rPr>
          <w:rtl w:val="0"/>
        </w:rPr>
        <w:t xml:space="preserve"> (version DESeq2_1.12.4) (Rajkumar et al., 2015) </w:t>
      </w:r>
      <w:r>
        <w:rPr>
          <w:rtl w:val="0"/>
          <w:lang w:val="en-US"/>
        </w:rPr>
        <w:t>from Bioconductor:</w:t>
      </w:r>
    </w:p>
    <w:p>
      <w:pPr>
        <w:pStyle w:val="8"/>
        <w:framePr w:w="0" w:hRule="auto" w:wrap="auto" w:vAnchor="margin" w:hAnchor="text" w:yAlign="inline"/>
        <w:spacing w:after="0" w:line="360" w:lineRule="auto"/>
      </w:pPr>
      <w:r>
        <w:rPr>
          <w:rtl w:val="0"/>
          <w:lang w:val="en-US"/>
        </w:rPr>
        <w:t>featureCounts -a hg19.gtf -p -t exon -g gene_id  -s 1 sorted.bam</w:t>
      </w:r>
    </w:p>
    <w:p>
      <w:pPr>
        <w:pStyle w:val="8"/>
        <w:framePr w:w="0" w:hRule="auto" w:wrap="auto" w:vAnchor="margin" w:hAnchor="text" w:yAlign="inline"/>
        <w:spacing w:after="0" w:line="360" w:lineRule="auto"/>
        <w:outlineLvl w:val="0"/>
      </w:pPr>
    </w:p>
    <w:p>
      <w:pPr>
        <w:pStyle w:val="8"/>
        <w:framePr w:w="0" w:hRule="auto" w:wrap="auto" w:vAnchor="margin" w:hAnchor="text" w:yAlign="inline"/>
        <w:spacing w:after="0" w:line="360" w:lineRule="auto"/>
        <w:outlineLvl w:val="0"/>
        <w:rPr>
          <w:b/>
          <w:bCs/>
        </w:rPr>
      </w:pPr>
      <w:r>
        <w:rPr>
          <w:b/>
          <w:bCs/>
          <w:rtl w:val="0"/>
        </w:rPr>
        <w:t>ChIP</w:t>
      </w:r>
      <w:r>
        <w:rPr>
          <w:b/>
          <w:bCs/>
          <w:rtl w:val="0"/>
          <w:lang w:val="en-US"/>
        </w:rPr>
        <w:t>-seq of Histone modification of Resting and Activated CD4 T cell</w:t>
      </w:r>
    </w:p>
    <w:p>
      <w:pPr>
        <w:pStyle w:val="8"/>
        <w:framePr w:w="0" w:hRule="auto" w:wrap="auto" w:vAnchor="margin" w:hAnchor="text" w:yAlign="inline"/>
        <w:spacing w:after="0" w:line="360" w:lineRule="auto"/>
      </w:pPr>
      <w:r>
        <w:rPr>
          <w:rtl w:val="0"/>
          <w:lang w:val="en-US"/>
        </w:rPr>
        <w:t xml:space="preserve">We use raw read from publicly available data from (Burren et al., 2017). Reads were mapped to the </w:t>
      </w:r>
      <w:commentRangeStart w:id="0"/>
      <w:commentRangeStart w:id="1"/>
      <w:r>
        <w:rPr>
          <w:shd w:val="clear" w:color="auto" w:fill="FEFC78"/>
          <w:rtl w:val="0"/>
          <w:lang w:val="nl-NL"/>
        </w:rPr>
        <w:t>human genome (GRCh37)</w:t>
      </w:r>
      <w:commentRangeEnd w:id="0"/>
      <w:r>
        <w:commentReference w:id="0"/>
      </w:r>
      <w:commentRangeEnd w:id="1"/>
      <w:r>
        <w:commentReference w:id="1"/>
      </w:r>
      <w:r>
        <w:rPr>
          <w:rtl w:val="0"/>
          <w:lang w:val="en-US"/>
        </w:rPr>
        <w:t xml:space="preserve"> using BWA</w:t>
      </w:r>
      <w:r>
        <w:rPr>
          <w:rtl w:val="0"/>
        </w:rPr>
        <w:t xml:space="preserve"> (bwa_aln 0.7.10-r789) (H. Li &amp; Durbin, 2009) </w:t>
      </w:r>
      <w:r>
        <w:rPr>
          <w:rtl w:val="0"/>
          <w:lang w:val="en-US"/>
        </w:rPr>
        <w:t>with default parameters.</w:t>
      </w:r>
    </w:p>
    <w:p>
      <w:pPr>
        <w:pStyle w:val="8"/>
        <w:framePr w:w="0" w:hRule="auto" w:wrap="auto" w:vAnchor="margin" w:hAnchor="text" w:yAlign="inline"/>
        <w:spacing w:after="0" w:line="360" w:lineRule="auto"/>
      </w:pPr>
    </w:p>
    <w:p>
      <w:pPr>
        <w:pStyle w:val="8"/>
        <w:framePr w:w="0" w:hRule="auto" w:wrap="auto" w:vAnchor="margin" w:hAnchor="text" w:yAlign="inline"/>
        <w:spacing w:after="0" w:line="360" w:lineRule="auto"/>
      </w:pPr>
      <w:r>
        <w:rPr>
          <w:rtl w:val="0"/>
          <w:lang w:val="en-US"/>
        </w:rPr>
        <w:t xml:space="preserve">Fragment length were inferred using cross strand correlation method from MaSC.pl </w:t>
      </w:r>
      <w:r>
        <w:rPr>
          <w:rtl w:val="0"/>
        </w:rPr>
        <w:t xml:space="preserve"> </w:t>
      </w:r>
      <w:r>
        <w:rPr>
          <w:rtl w:val="0"/>
          <w:lang w:val="de-DE"/>
        </w:rPr>
        <w:t>(Version 1.2.1)</w:t>
      </w:r>
      <w:r>
        <w:rPr>
          <w:rtl w:val="0"/>
        </w:rPr>
        <w:t xml:space="preserve"> </w:t>
      </w:r>
      <w:r>
        <w:rPr>
          <w:rtl w:val="0"/>
          <w:lang w:val="en-US"/>
        </w:rPr>
        <w:t>(Ramachandran, Palidwor, Porter, &amp; Perkins, 2013), the mappability track were generated using GEM-mappability</w:t>
      </w:r>
      <w:r>
        <w:rPr>
          <w:rtl w:val="0"/>
        </w:rPr>
        <w:t xml:space="preserve"> </w:t>
      </w:r>
      <w:r>
        <w:rPr>
          <w:rtl w:val="0"/>
          <w:lang w:val="en-US"/>
        </w:rPr>
        <w:t>(build 1.315 (beta)) (Derrien et al., 2012).</w:t>
      </w:r>
    </w:p>
    <w:p>
      <w:pPr>
        <w:pStyle w:val="8"/>
        <w:framePr w:w="0" w:hRule="auto" w:wrap="auto" w:vAnchor="margin" w:hAnchor="text" w:yAlign="inline"/>
        <w:spacing w:after="0" w:line="360" w:lineRule="auto"/>
      </w:pPr>
    </w:p>
    <w:p>
      <w:pPr>
        <w:pStyle w:val="8"/>
        <w:framePr w:w="0" w:hRule="auto" w:wrap="auto" w:vAnchor="margin" w:hAnchor="text" w:yAlign="inline"/>
        <w:spacing w:after="0" w:line="360" w:lineRule="auto"/>
      </w:pPr>
      <w:r>
        <w:rPr>
          <w:rtl w:val="0"/>
          <w:lang w:val="en-US"/>
        </w:rPr>
        <w:t xml:space="preserve">Meta-gene average profiles were generated using deeptools 2 software (version 2.5.3) </w:t>
      </w:r>
      <w:r>
        <w:rPr>
          <w:shd w:val="clear" w:color="auto" w:fill="FFFFFF"/>
          <w:rtl w:val="0"/>
        </w:rPr>
        <w:t>(Ramí</w:t>
      </w:r>
      <w:r>
        <w:rPr>
          <w:shd w:val="clear" w:color="auto" w:fill="FFFFFF"/>
          <w:rtl w:val="0"/>
          <w:lang w:val="fr-FR"/>
        </w:rPr>
        <w:t>rez et al., 2016).</w:t>
      </w:r>
      <w:r>
        <w:rPr>
          <w:rtl w:val="0"/>
          <w:lang w:val="en-US"/>
        </w:rPr>
        <w:t xml:space="preserve"> First, normali</w:t>
      </w:r>
      <w:r>
        <w:rPr>
          <w:rtl w:val="0"/>
        </w:rPr>
        <w:t>z</w:t>
      </w:r>
      <w:r>
        <w:rPr>
          <w:rtl w:val="0"/>
          <w:lang w:val="en-US"/>
        </w:rPr>
        <w:t xml:space="preserve">ed genome wide coverage (bigwig files) were generated using </w:t>
      </w:r>
      <w:r>
        <w:rPr>
          <w:rFonts w:ascii="Courier" w:hAnsi="Courier"/>
          <w:sz w:val="20"/>
          <w:szCs w:val="20"/>
          <w:rtl w:val="0"/>
          <w:lang w:val="en-US"/>
        </w:rPr>
        <w:t>bamCompare</w:t>
      </w:r>
      <w:r>
        <w:rPr>
          <w:rtl w:val="0"/>
          <w:lang w:val="en-US"/>
        </w:rPr>
        <w:t xml:space="preserve"> with signal extraction scaling (SES) normalization method to subtract background:</w:t>
      </w:r>
    </w:p>
    <w:p>
      <w:pPr>
        <w:pStyle w:val="8"/>
        <w:framePr w:w="0" w:hRule="auto" w:wrap="auto" w:vAnchor="margin" w:hAnchor="text" w:yAlign="inline"/>
        <w:spacing w:after="0" w:line="360" w:lineRule="auto"/>
        <w:jc w:val="left"/>
        <w:rPr>
          <w:rFonts w:ascii="Courier" w:hAnsi="Courier" w:eastAsia="Courier" w:cs="Courier"/>
        </w:rPr>
      </w:pPr>
      <w:r>
        <w:rPr>
          <w:rFonts w:ascii="Courier" w:hAnsi="Courier"/>
          <w:rtl w:val="0"/>
          <w:lang w:val="en-US"/>
        </w:rPr>
        <w:t>bamCompare --bamfile1 {IP} --bamfile2 {Input} --scaleFactorsMethod SES --sampleLength 1000 --numberOfSamples 100000 --outFileName {IP.norm.bw} --pseudocount 0 --ratio subtract --binSize 10 --smoothLength 30</w:t>
      </w:r>
      <w:r>
        <w:rPr>
          <w:rFonts w:ascii="Courier" w:hAnsi="Courier"/>
          <w:rtl w:val="0"/>
        </w:rPr>
        <w:t xml:space="preserve"> </w:t>
      </w:r>
      <w:r>
        <w:rPr>
          <w:rFonts w:ascii="Courier" w:hAnsi="Courier"/>
          <w:rtl w:val="0"/>
          <w:lang w:val="en-US"/>
        </w:rPr>
        <w:t>--minMappingQuality 20 --extendReads {fragment.length}</w:t>
      </w:r>
    </w:p>
    <w:p>
      <w:pPr>
        <w:pStyle w:val="8"/>
        <w:framePr w:w="0" w:hRule="auto" w:wrap="auto" w:vAnchor="margin" w:hAnchor="text" w:yAlign="inline"/>
        <w:spacing w:after="0" w:line="360" w:lineRule="auto"/>
      </w:pPr>
    </w:p>
    <w:p>
      <w:pPr>
        <w:pStyle w:val="8"/>
        <w:framePr w:w="0" w:hRule="auto" w:wrap="auto" w:vAnchor="margin" w:hAnchor="text" w:yAlign="inline"/>
        <w:spacing w:after="0" w:line="360" w:lineRule="auto"/>
      </w:pPr>
      <w:r>
        <w:rPr>
          <w:rtl w:val="0"/>
          <w:lang w:val="en-US"/>
        </w:rPr>
        <w:t>Then we constructed meta-gene matrices using deeptools computeMatrix and annotation file from ENSEMBL (release 75):</w:t>
      </w:r>
    </w:p>
    <w:p>
      <w:pPr>
        <w:pStyle w:val="8"/>
        <w:framePr w:w="0" w:hRule="auto" w:wrap="auto" w:vAnchor="margin" w:hAnchor="text" w:yAlign="inline"/>
        <w:spacing w:after="0" w:line="360" w:lineRule="auto"/>
        <w:jc w:val="left"/>
        <w:rPr>
          <w:rFonts w:ascii="Courier" w:hAnsi="Courier" w:eastAsia="Courier" w:cs="Courier"/>
        </w:rPr>
      </w:pPr>
      <w:r>
        <w:rPr>
          <w:rFonts w:ascii="Courier" w:hAnsi="Courier"/>
          <w:rtl w:val="0"/>
          <w:lang w:val="en-US"/>
        </w:rPr>
        <w:t xml:space="preserve">computeMatrix scale-regions --regionsFileName Homo_sapiens.GRCh37.75.bed --scoreFileName {normalised.bw} --outFileName {output} --upstream 2000 --unscaled5prime 500 --regionBodyLength 2000 --unscaled3prime 500 --downstream 2000 --binSize 50 --sortRegions </w:t>
      </w:r>
      <w:r>
        <w:rPr>
          <w:rFonts w:hint="default" w:ascii="Courier" w:hAnsi="Courier"/>
          <w:rtl w:val="0"/>
        </w:rPr>
        <w:t>“</w:t>
      </w:r>
      <w:r>
        <w:rPr>
          <w:rFonts w:ascii="Courier" w:hAnsi="Courier"/>
          <w:rtl w:val="0"/>
          <w:lang w:val="pt-PT"/>
        </w:rPr>
        <w:t>descend</w:t>
      </w:r>
      <w:r>
        <w:rPr>
          <w:rFonts w:hint="default" w:ascii="Courier" w:hAnsi="Courier"/>
          <w:rtl w:val="0"/>
        </w:rPr>
        <w:t xml:space="preserve">” </w:t>
      </w:r>
      <w:r>
        <w:rPr>
          <w:rFonts w:ascii="Courier" w:hAnsi="Courier"/>
          <w:rtl w:val="0"/>
        </w:rPr>
        <w:t xml:space="preserve">--sortUsing </w:t>
      </w:r>
      <w:r>
        <w:rPr>
          <w:rFonts w:hint="default" w:ascii="Courier" w:hAnsi="Courier"/>
          <w:rtl w:val="0"/>
        </w:rPr>
        <w:t>“</w:t>
      </w:r>
      <w:r>
        <w:rPr>
          <w:rFonts w:ascii="Courier" w:hAnsi="Courier"/>
          <w:rtl w:val="0"/>
          <w:lang w:val="en-US"/>
        </w:rPr>
        <w:t>mean</w:t>
      </w:r>
      <w:r>
        <w:rPr>
          <w:rFonts w:hint="default" w:ascii="Courier" w:hAnsi="Courier"/>
          <w:rtl w:val="0"/>
        </w:rPr>
        <w:t>”</w:t>
      </w:r>
    </w:p>
    <w:p>
      <w:pPr>
        <w:pStyle w:val="8"/>
        <w:framePr w:w="0" w:hRule="auto" w:wrap="auto" w:vAnchor="margin" w:hAnchor="text" w:yAlign="inline"/>
        <w:spacing w:after="0" w:line="360" w:lineRule="auto"/>
      </w:pPr>
    </w:p>
    <w:p>
      <w:pPr>
        <w:pStyle w:val="8"/>
        <w:framePr w:w="0" w:hRule="auto" w:wrap="auto" w:vAnchor="margin" w:hAnchor="text" w:yAlign="inline"/>
        <w:spacing w:after="0" w:line="360" w:lineRule="auto"/>
      </w:pPr>
      <w:r>
        <w:rPr>
          <w:rtl w:val="0"/>
          <w:lang w:val="en-US"/>
        </w:rPr>
        <w:t>Finally, we plotted meta-gene average profile with R scripts using the data.table and the ggplot2 package. We split genes into four groups using TPM values from RSEM and IS from cART-treated individuals studies as follow:</w:t>
      </w:r>
    </w:p>
    <w:p>
      <w:pPr>
        <w:pStyle w:val="10"/>
        <w:framePr w:w="0" w:hRule="auto" w:wrap="auto" w:vAnchor="margin" w:hAnchor="text" w:yAlign="inline"/>
        <w:numPr>
          <w:ilvl w:val="0"/>
          <w:numId w:val="1"/>
        </w:numPr>
        <w:spacing w:after="0" w:line="360" w:lineRule="auto"/>
        <w:rPr>
          <w:lang w:val="en-US"/>
        </w:rPr>
      </w:pPr>
      <w:r>
        <w:rPr>
          <w:rtl w:val="0"/>
          <w:lang w:val="en-US"/>
        </w:rPr>
        <w:t>HIV targeted genes</w:t>
      </w:r>
    </w:p>
    <w:p>
      <w:pPr>
        <w:pStyle w:val="10"/>
        <w:framePr w:w="0" w:hRule="auto" w:wrap="auto" w:vAnchor="margin" w:hAnchor="text" w:yAlign="inline"/>
        <w:numPr>
          <w:ilvl w:val="0"/>
          <w:numId w:val="1"/>
        </w:numPr>
        <w:spacing w:after="0" w:line="360" w:lineRule="auto"/>
        <w:rPr>
          <w:lang w:val="en-US"/>
        </w:rPr>
      </w:pPr>
      <w:r>
        <w:rPr>
          <w:rtl w:val="0"/>
          <w:lang w:val="en-US"/>
        </w:rPr>
        <w:t>Untranscribed genes (</w:t>
      </w:r>
      <w:r>
        <w:rPr>
          <w:shd w:val="clear" w:color="auto" w:fill="FEFC78"/>
          <w:rtl w:val="0"/>
          <w:lang w:val="en-US"/>
        </w:rPr>
        <w:t>below 6 TPM</w:t>
      </w:r>
      <w:r>
        <w:rPr>
          <w:rtl w:val="0"/>
          <w:lang w:val="en-US"/>
        </w:rPr>
        <w:t>)</w:t>
      </w:r>
    </w:p>
    <w:p>
      <w:pPr>
        <w:pStyle w:val="10"/>
        <w:framePr w:w="0" w:hRule="auto" w:wrap="auto" w:vAnchor="margin" w:hAnchor="text" w:yAlign="inline"/>
        <w:numPr>
          <w:ilvl w:val="0"/>
          <w:numId w:val="1"/>
        </w:numPr>
        <w:spacing w:after="0" w:line="360" w:lineRule="auto"/>
        <w:rPr>
          <w:lang w:val="en-US"/>
        </w:rPr>
      </w:pPr>
      <w:r>
        <w:rPr>
          <w:rtl w:val="0"/>
          <w:lang w:val="en-US"/>
        </w:rPr>
        <w:t>Transcribed genes</w:t>
      </w:r>
    </w:p>
    <w:p>
      <w:pPr>
        <w:pStyle w:val="10"/>
        <w:framePr w:w="0" w:hRule="auto" w:wrap="auto" w:vAnchor="margin" w:hAnchor="text" w:yAlign="inline"/>
        <w:numPr>
          <w:ilvl w:val="0"/>
          <w:numId w:val="1"/>
        </w:numPr>
        <w:spacing w:after="0" w:line="360" w:lineRule="auto"/>
        <w:rPr>
          <w:lang w:val="en-US"/>
        </w:rPr>
      </w:pPr>
      <w:r>
        <w:rPr>
          <w:rtl w:val="0"/>
          <w:lang w:val="en-US"/>
        </w:rPr>
        <w:t>Highly transcribed genes</w:t>
      </w:r>
    </w:p>
    <w:p>
      <w:pPr>
        <w:pStyle w:val="8"/>
        <w:framePr w:w="0" w:hRule="auto" w:wrap="auto" w:vAnchor="margin" w:hAnchor="text" w:yAlign="inline"/>
        <w:spacing w:after="0" w:line="360" w:lineRule="auto"/>
      </w:pPr>
    </w:p>
    <w:p>
      <w:pPr>
        <w:pStyle w:val="8"/>
        <w:framePr w:w="0" w:hRule="auto" w:wrap="auto" w:vAnchor="margin" w:hAnchor="text" w:yAlign="inline"/>
        <w:spacing w:after="0" w:line="360" w:lineRule="auto"/>
      </w:pPr>
      <w:r>
        <w:rPr>
          <w:rtl w:val="0"/>
          <w:lang w:val="en-US"/>
        </w:rPr>
        <w:t xml:space="preserve">Untranscribed genes were determined using the median of all genes </w:t>
      </w:r>
      <w:r>
        <w:rPr>
          <w:shd w:val="clear" w:color="auto" w:fill="FEFC78"/>
          <w:rtl w:val="0"/>
          <w:lang w:val="en-US"/>
        </w:rPr>
        <w:t>below 6 TPM</w:t>
      </w:r>
      <w:r>
        <w:rPr>
          <w:rtl w:val="0"/>
          <w:lang w:val="en-US"/>
        </w:rPr>
        <w:t xml:space="preserve">. Above this threshold, genes were split into two equally sized groups based on TPM values. The highest half was labelled "Highly transcribed", the lowest "Transcribed genes". </w:t>
      </w:r>
    </w:p>
    <w:p>
      <w:pPr>
        <w:pStyle w:val="8"/>
        <w:framePr w:w="0" w:hRule="auto" w:wrap="auto" w:vAnchor="margin" w:hAnchor="text" w:yAlign="inline"/>
        <w:spacing w:after="0" w:line="360" w:lineRule="auto"/>
        <w:outlineLvl w:val="0"/>
      </w:pPr>
    </w:p>
    <w:p>
      <w:pPr>
        <w:pStyle w:val="8"/>
        <w:framePr w:w="0" w:hRule="auto" w:wrap="auto" w:vAnchor="margin" w:hAnchor="text" w:yAlign="inline"/>
        <w:spacing w:after="0" w:line="360" w:lineRule="auto"/>
        <w:outlineLvl w:val="0"/>
      </w:pPr>
      <w:r>
        <w:rPr>
          <w:b/>
          <w:bCs/>
          <w:rtl w:val="0"/>
        </w:rPr>
        <w:t>ChIP</w:t>
      </w:r>
      <w:r>
        <w:rPr>
          <w:b/>
          <w:bCs/>
          <w:rtl w:val="0"/>
          <w:lang w:val="en-US"/>
        </w:rPr>
        <w:t>-seq enrichment around HIV-1 Integration Site positions</w:t>
      </w:r>
    </w:p>
    <w:p>
      <w:pPr>
        <w:pStyle w:val="8"/>
        <w:framePr w:w="0" w:hRule="auto" w:wrap="auto" w:vAnchor="margin" w:hAnchor="text" w:yAlign="inline"/>
        <w:spacing w:after="0" w:line="360" w:lineRule="auto"/>
      </w:pPr>
      <w:r>
        <w:rPr>
          <w:rtl w:val="0"/>
          <w:lang w:val="en-US"/>
        </w:rPr>
        <w:t>We then sought to compare Ch</w:t>
      </w:r>
      <w:r>
        <w:rPr>
          <w:rtl w:val="0"/>
        </w:rPr>
        <w:t>IP</w:t>
      </w:r>
      <w:r>
        <w:rPr>
          <w:rtl w:val="0"/>
          <w:lang w:val="en-US"/>
        </w:rPr>
        <w:t>-seq patterns between IS positions and randomly selected positions in genes with similar expression levels. To do so, we split all genes targeted by HIV in the cART studies into ten equally sized bins based on the TT-seq TPM values. We</w:t>
      </w:r>
      <w:r>
        <w:rPr>
          <w:rtl w:val="0"/>
        </w:rPr>
        <w:t xml:space="preserve"> </w:t>
      </w:r>
      <w:r>
        <w:rPr>
          <w:rtl w:val="0"/>
          <w:lang w:val="en-US"/>
        </w:rPr>
        <w:t xml:space="preserve">selected random genes not targeted by HIV and matched them to the same amount of HIV targeted genes from the same bin. </w:t>
      </w:r>
    </w:p>
    <w:p>
      <w:pPr>
        <w:pStyle w:val="8"/>
        <w:framePr w:w="0" w:hRule="auto" w:wrap="auto" w:vAnchor="margin" w:hAnchor="text" w:yAlign="inline"/>
        <w:spacing w:after="0" w:line="360" w:lineRule="auto"/>
      </w:pPr>
    </w:p>
    <w:p>
      <w:pPr>
        <w:pStyle w:val="8"/>
        <w:framePr w:w="0" w:hRule="auto" w:wrap="auto" w:vAnchor="margin" w:hAnchor="text" w:yAlign="inline"/>
        <w:spacing w:after="0" w:line="360" w:lineRule="auto"/>
      </w:pPr>
      <w:r>
        <w:rPr>
          <w:rtl w:val="0"/>
          <w:lang w:val="en-US"/>
        </w:rPr>
        <w:t>We use deeptools constructMatrix to construct matrices used to plot average profile around IS. We test the significance of differences using a Wilcoxon rank-sum test with the average signal o</w:t>
      </w:r>
      <w:r>
        <w:rPr>
          <w:highlight w:val="none"/>
          <w:rtl w:val="0"/>
          <w:lang w:val="en-US"/>
        </w:rPr>
        <w:t xml:space="preserve">f </w:t>
      </w:r>
      <w:r>
        <w:rPr>
          <w:highlight w:val="none"/>
          <w:shd w:val="clear" w:color="auto" w:fill="FEFB00"/>
          <w:rtl w:val="0"/>
        </w:rPr>
        <w:t>+/- 50</w:t>
      </w:r>
      <w:r>
        <w:rPr>
          <w:rFonts w:hint="default"/>
          <w:highlight w:val="none"/>
          <w:shd w:val="clear" w:color="auto" w:fill="FEFB00"/>
          <w:rtl w:val="0"/>
        </w:rPr>
        <w:t>0</w:t>
      </w:r>
      <w:r>
        <w:rPr>
          <w:highlight w:val="none"/>
          <w:shd w:val="clear" w:color="auto" w:fill="FEFB00"/>
          <w:rtl w:val="0"/>
        </w:rPr>
        <w:t xml:space="preserve"> bp</w:t>
      </w:r>
      <w:r>
        <w:rPr>
          <w:highlight w:val="none"/>
          <w:rtl w:val="0"/>
          <w:lang w:val="en-US"/>
        </w:rPr>
        <w:t xml:space="preserve"> </w:t>
      </w:r>
      <w:r>
        <w:rPr>
          <w:rtl w:val="0"/>
          <w:lang w:val="en-US"/>
        </w:rPr>
        <w:t>around IS versus average signal around random position.</w:t>
      </w:r>
    </w:p>
    <w:p>
      <w:pPr>
        <w:pStyle w:val="8"/>
        <w:framePr w:w="0" w:hRule="auto" w:wrap="auto" w:vAnchor="margin" w:hAnchor="text" w:yAlign="inline"/>
        <w:spacing w:after="0" w:line="360" w:lineRule="auto"/>
        <w:outlineLvl w:val="0"/>
      </w:pPr>
    </w:p>
    <w:p>
      <w:pPr>
        <w:pStyle w:val="8"/>
        <w:framePr w:w="0" w:hRule="auto" w:wrap="auto" w:vAnchor="margin" w:hAnchor="text" w:yAlign="inline"/>
        <w:spacing w:after="0" w:line="360" w:lineRule="auto"/>
        <w:outlineLvl w:val="0"/>
        <w:rPr>
          <w:b/>
          <w:bCs/>
        </w:rPr>
      </w:pPr>
      <w:r>
        <w:rPr>
          <w:b/>
          <w:bCs/>
          <w:rtl w:val="0"/>
          <w:lang w:val="en-US"/>
        </w:rPr>
        <w:t>Hi-C library preparation</w:t>
      </w:r>
    </w:p>
    <w:p>
      <w:pPr>
        <w:pStyle w:val="8"/>
        <w:framePr w:w="0" w:hRule="auto" w:wrap="auto" w:vAnchor="margin" w:hAnchor="text" w:yAlign="inline"/>
        <w:spacing w:after="0" w:line="360" w:lineRule="auto"/>
      </w:pPr>
      <w:r>
        <w:rPr>
          <w:rtl w:val="0"/>
          <w:lang w:val="en-US"/>
        </w:rPr>
        <w:t xml:space="preserve">Two million purified CD4+ T-cells were cross-linked with 1% formaldehyde solution quench then with the addition of 0.2M </w:t>
      </w:r>
      <w:r>
        <w:rPr>
          <w:rtl w:val="0"/>
        </w:rPr>
        <w:t>g</w:t>
      </w:r>
      <w:r>
        <w:rPr>
          <w:rtl w:val="0"/>
          <w:lang w:val="en-US"/>
        </w:rPr>
        <w:t xml:space="preserve">lycine. Cells were lysed with HiC lysis buffer (10mM Tris-HCl pH8.0 (Sigma-Aldrich), 10mM NaCl (Sigma-Aldrich), 0.2% Igepal CA63 (Sigma-Aldrich) and 1x of protease inhibitors (Roche)). DNA was digested using DpnII restriction enzyme. After biotin filing during DNA </w:t>
      </w:r>
      <w:r>
        <w:rPr>
          <w:rtl w:val="0"/>
        </w:rPr>
        <w:t>e</w:t>
      </w:r>
      <w:r>
        <w:rPr>
          <w:rtl w:val="0"/>
          <w:lang w:val="en-US"/>
        </w:rPr>
        <w:t>nd repair, proximity ligation was carried out 4h at 18</w:t>
      </w:r>
      <w:r>
        <w:rPr>
          <w:rtl w:val="0"/>
          <w:lang w:val="it-IT"/>
        </w:rPr>
        <w:t>°</w:t>
      </w:r>
      <w:r>
        <w:rPr>
          <w:rtl w:val="0"/>
          <w:lang w:val="en-US"/>
        </w:rPr>
        <w:t>C with 2000U T4 DNA ligase (NEB). After reverse-crosslinking, DNA was purified using ethanol precipitation and sheared to 300-500</w:t>
      </w:r>
      <w:r>
        <w:rPr>
          <w:rtl w:val="0"/>
        </w:rPr>
        <w:t xml:space="preserve"> </w:t>
      </w:r>
      <w:r>
        <w:rPr>
          <w:rtl w:val="0"/>
          <w:lang w:val="en-US"/>
        </w:rPr>
        <w:t>bp fragments using Biorupter (Diagenode). DNA sizing was performed using two successive AMPure XP Beads (Beckman Coulter) purification to remove DNA shorter than 300</w:t>
      </w:r>
      <w:r>
        <w:rPr>
          <w:rtl w:val="0"/>
        </w:rPr>
        <w:t xml:space="preserve"> </w:t>
      </w:r>
      <w:r>
        <w:rPr>
          <w:rtl w:val="0"/>
          <w:lang w:val="en-US"/>
        </w:rPr>
        <w:t>bp and bigger than 500</w:t>
      </w:r>
      <w:r>
        <w:rPr>
          <w:rtl w:val="0"/>
        </w:rPr>
        <w:t xml:space="preserve"> </w:t>
      </w:r>
      <w:r>
        <w:rPr>
          <w:rtl w:val="0"/>
          <w:lang w:val="en-US"/>
        </w:rPr>
        <w:t>bp. Ligation fragments containing biotin were immobilized on MyOne Streptavidin T1 beads (ThermoFished Cat.N: 65602), end and A-tailed as described previously (Rao et al., 2014). NEXTflex adaptors (Bioo Scientific) were then ligated. Streptavidin beads were removed by heating DNA 98</w:t>
      </w:r>
      <w:r>
        <w:rPr>
          <w:rtl w:val="0"/>
          <w:lang w:val="it-IT"/>
        </w:rPr>
        <w:t>°</w:t>
      </w:r>
      <w:r>
        <w:rPr>
          <w:rtl w:val="0"/>
          <w:lang w:val="en-US"/>
        </w:rPr>
        <w:t>C 10min to avoid potential interference during PCR amplification. Amplified DNA with adapted Illumina primer for 6 cycles. DNA was then size selected using AMPure XP beads with a ratio of 0.7:1 twice. The in situ HiC libraries were then quantified and analyzed on the Agilent Bioanalyzer 2100 with a DNA 6000 Pico and paired-end sequenced (50bp) on an Illumina HiSeq 2500 sequencer.</w:t>
      </w:r>
    </w:p>
    <w:p>
      <w:pPr>
        <w:pStyle w:val="8"/>
        <w:framePr w:w="0" w:hRule="auto" w:wrap="auto" w:vAnchor="margin" w:hAnchor="text" w:yAlign="inline"/>
        <w:spacing w:after="0" w:line="360" w:lineRule="auto"/>
        <w:outlineLvl w:val="0"/>
      </w:pPr>
    </w:p>
    <w:p>
      <w:pPr>
        <w:pStyle w:val="8"/>
        <w:framePr w:w="0" w:hRule="auto" w:wrap="auto" w:vAnchor="margin" w:hAnchor="text" w:yAlign="inline"/>
        <w:spacing w:after="0" w:line="360" w:lineRule="auto"/>
        <w:outlineLvl w:val="0"/>
        <w:rPr>
          <w:b/>
          <w:bCs/>
        </w:rPr>
      </w:pPr>
      <w:r>
        <w:rPr>
          <w:b/>
          <w:bCs/>
          <w:rtl w:val="0"/>
          <w:lang w:val="en-US"/>
        </w:rPr>
        <w:t>Hi-C processing</w:t>
      </w:r>
    </w:p>
    <w:p>
      <w:pPr>
        <w:pStyle w:val="8"/>
        <w:framePr w:w="0" w:hRule="auto" w:wrap="auto" w:vAnchor="margin" w:hAnchor="text" w:yAlign="inline"/>
        <w:spacing w:after="0" w:line="360" w:lineRule="auto"/>
        <w:rPr>
          <w:rFonts w:hint="default"/>
          <w:rtl w:val="0"/>
          <w:lang w:val="en-US"/>
        </w:rPr>
      </w:pPr>
      <w:r>
        <w:rPr>
          <w:rFonts w:hint="default"/>
          <w:rtl w:val="0"/>
          <w:lang w:val="en-US"/>
        </w:rPr>
        <w:t>Hi-C data were processed using the Juicer pipeline (Durand et al., 2016) for visualisation and HicExplorer 3.7.1 for processing. In short, Hi-C reads were mapped to DnpII restriction fragments (hg19). Duplicates reads with MAPQ &lt; 30, and intra-fragment reads were removed. Reads were then binned to generate contact matrices for all chromosomes at resolutions 5, 10, 25, 50 kb. Contact matrices were next normalized by reads depth</w:t>
      </w:r>
      <w:r>
        <w:rPr>
          <w:rFonts w:hint="default"/>
          <w:rtl w:val="0"/>
        </w:rPr>
        <w:t xml:space="preserve">, </w:t>
      </w:r>
      <w:r>
        <w:rPr>
          <w:rFonts w:hint="default"/>
          <w:rtl w:val="0"/>
          <w:lang w:val="en-US"/>
        </w:rPr>
        <w:t xml:space="preserve">corrected using KR matrix balancing </w:t>
      </w:r>
      <w:r>
        <w:rPr>
          <w:rFonts w:hint="default"/>
          <w:rtl w:val="0"/>
        </w:rPr>
        <w:t>algorithm and we merge replicates</w:t>
      </w:r>
      <w:r>
        <w:rPr>
          <w:rFonts w:hint="default"/>
          <w:rtl w:val="0"/>
          <w:lang w:val="en-US"/>
        </w:rPr>
        <w:t>.</w:t>
      </w:r>
    </w:p>
    <w:p>
      <w:pPr>
        <w:pStyle w:val="8"/>
        <w:framePr w:w="0" w:hRule="auto" w:wrap="auto" w:vAnchor="margin" w:hAnchor="text" w:yAlign="inline"/>
        <w:spacing w:after="0" w:line="360" w:lineRule="auto"/>
        <w:rPr>
          <w:rFonts w:hint="default"/>
          <w:rtl w:val="0"/>
          <w:lang w:val="en-US"/>
        </w:rPr>
      </w:pPr>
    </w:p>
    <w:p>
      <w:pPr>
        <w:pStyle w:val="8"/>
        <w:framePr w:w="0" w:hRule="auto" w:wrap="auto" w:vAnchor="margin" w:hAnchor="text" w:yAlign="inline"/>
        <w:spacing w:after="0" w:line="360" w:lineRule="auto"/>
        <w:rPr>
          <w:rFonts w:hint="default"/>
          <w:rtl w:val="0"/>
          <w:lang w:val="en-US"/>
        </w:rPr>
      </w:pPr>
      <w:r>
        <w:rPr>
          <w:rFonts w:hint="default"/>
          <w:rtl w:val="0"/>
          <w:lang w:val="en-US"/>
        </w:rPr>
        <w:t xml:space="preserve">  Topologically associating domains (TADs) were identified using hicExplorer (</w:t>
      </w:r>
      <w:r>
        <w:rPr>
          <w:rFonts w:hint="default"/>
          <w:rtl w:val="0"/>
        </w:rPr>
        <w:t>Ramirez et al. 2018)</w:t>
      </w:r>
      <w:r>
        <w:rPr>
          <w:rFonts w:hint="default"/>
          <w:rtl w:val="0"/>
          <w:lang w:val="en-US"/>
        </w:rPr>
        <w:t xml:space="preserve"> at 25/50 kb resolution. Around 4500/3800 TADs were identified, and their median size was around 325/500 kb respectively. TADs could not be identified at lower resolutions due to matrix sparsity. TADs were then annotated according to TT-seq data: TADs were considered as active if the average TT-seq TPM (transcripts per kilobase million) was superior to 10, and were considered as inactive if not.</w:t>
      </w:r>
    </w:p>
    <w:p>
      <w:pPr>
        <w:pStyle w:val="8"/>
        <w:framePr w:w="0" w:hRule="auto" w:wrap="auto" w:vAnchor="margin" w:hAnchor="text" w:yAlign="inline"/>
        <w:spacing w:after="0" w:line="360" w:lineRule="auto"/>
      </w:pPr>
    </w:p>
    <w:p>
      <w:pPr>
        <w:pStyle w:val="11"/>
        <w:framePr w:w="0" w:hRule="auto" w:wrap="auto" w:vAnchor="margin" w:hAnchor="text" w:yAlign="inline"/>
        <w:spacing w:after="0" w:line="360" w:lineRule="auto"/>
      </w:pPr>
      <w:r>
        <w:rPr>
          <w:rtl w:val="0"/>
          <w:lang w:val="en-US"/>
        </w:rPr>
        <w:t xml:space="preserve">Enrichment analysis in tri-dimensional chromatin structure context </w:t>
      </w:r>
    </w:p>
    <w:p>
      <w:pPr>
        <w:pStyle w:val="8"/>
        <w:framePr w:w="0" w:hRule="auto" w:wrap="auto" w:vAnchor="margin" w:hAnchor="text" w:yAlign="inline"/>
        <w:spacing w:after="0" w:line="360" w:lineRule="auto"/>
      </w:pPr>
      <w:r>
        <w:rPr>
          <w:rtl w:val="0"/>
          <w:lang w:val="en-US"/>
        </w:rPr>
        <w:t xml:space="preserve">Enrichment of HIV </w:t>
      </w:r>
      <w:r>
        <w:rPr>
          <w:rtl w:val="0"/>
        </w:rPr>
        <w:t>IS</w:t>
      </w:r>
      <w:r>
        <w:rPr>
          <w:rtl w:val="0"/>
          <w:lang w:val="en-US"/>
        </w:rPr>
        <w:t xml:space="preserve"> in active TADs was assessed. For this purpose, IS were first mapped to genes. Then the enrichment of genes with IS in active TADs was compared to the enrichment of genes without IS in active TADs using the Fisher</w:t>
      </w:r>
      <w:r>
        <w:rPr>
          <w:rtl w:val="0"/>
        </w:rPr>
        <w:t>’</w:t>
      </w:r>
      <w:r>
        <w:rPr>
          <w:rtl w:val="0"/>
          <w:lang w:val="en-US"/>
        </w:rPr>
        <w:t xml:space="preserve">s exact test. </w:t>
      </w:r>
      <w:r>
        <w:rPr>
          <w:shd w:val="clear" w:color="auto" w:fill="FFFF00"/>
          <w:rtl w:val="0"/>
          <w:lang w:val="en-US"/>
        </w:rPr>
        <w:t>Similarly, the enrichment of genes with IS at loop anchors was compared to the enrichment of genes without IS at loop anchors using the Fisher</w:t>
      </w:r>
      <w:r>
        <w:rPr>
          <w:shd w:val="clear" w:color="auto" w:fill="FFFF00"/>
          <w:rtl w:val="0"/>
        </w:rPr>
        <w:t>’</w:t>
      </w:r>
      <w:r>
        <w:rPr>
          <w:shd w:val="clear" w:color="auto" w:fill="FFFF00"/>
          <w:rtl w:val="0"/>
          <w:lang w:val="en-US"/>
        </w:rPr>
        <w:t>s exact test.</w:t>
      </w:r>
      <w:r>
        <w:rPr>
          <w:rtl w:val="0"/>
        </w:rPr>
        <w:t xml:space="preserve"> </w:t>
      </w:r>
    </w:p>
    <w:p>
      <w:pPr>
        <w:pStyle w:val="8"/>
        <w:framePr w:w="0" w:hRule="auto" w:wrap="auto" w:vAnchor="margin" w:hAnchor="text" w:yAlign="inline"/>
        <w:spacing w:after="0" w:line="360" w:lineRule="auto"/>
      </w:pPr>
    </w:p>
    <w:p>
      <w:pPr>
        <w:pStyle w:val="8"/>
        <w:framePr w:w="0" w:hRule="auto" w:wrap="auto" w:vAnchor="margin" w:hAnchor="text" w:yAlign="inline"/>
        <w:spacing w:after="0" w:line="360" w:lineRule="auto"/>
      </w:pPr>
      <w:r>
        <w:rPr>
          <w:rtl w:val="0"/>
          <w:lang w:val="en-US"/>
        </w:rPr>
        <w:t xml:space="preserve">In active TADs, we assessed the enrichment of histone marks between TADs with IS (IS enriched domains) and TADs without IS (IS depleted domains). </w:t>
      </w:r>
      <w:bookmarkStart w:id="0" w:name="_DdeLink__7_750131653"/>
      <w:r>
        <w:rPr>
          <w:rtl w:val="0"/>
          <w:lang w:val="en-US"/>
        </w:rPr>
        <w:t xml:space="preserve">We used the Wilcoxon rank-sum test </w:t>
      </w:r>
      <w:bookmarkEnd w:id="0"/>
      <w:r>
        <w:rPr>
          <w:rtl w:val="0"/>
          <w:lang w:val="en-US"/>
        </w:rPr>
        <w:t xml:space="preserve">to assess the significance of the enrichment difference. </w:t>
      </w:r>
    </w:p>
    <w:p>
      <w:pPr>
        <w:pStyle w:val="8"/>
        <w:framePr w:w="0" w:hRule="auto" w:wrap="auto" w:vAnchor="margin" w:hAnchor="text" w:yAlign="inline"/>
        <w:spacing w:after="0" w:line="360" w:lineRule="auto"/>
      </w:pPr>
      <w:r>
        <w:rPr>
          <w:rtl w:val="0"/>
          <w:lang w:val="en-US"/>
        </w:rPr>
        <w:t xml:space="preserve">To assess the enrichment of IS at TAD borders, we computed an average profile of the number of IS that overlap TAD borders and the surrounding regions. Similarly, we computed average profiles of the number of IS that overlap enhancers (Andersson et al., 2014) and </w:t>
      </w:r>
      <w:r>
        <w:rPr>
          <w:shd w:val="clear" w:color="auto" w:fill="FEFB00"/>
          <w:rtl w:val="0"/>
          <w:lang w:val="en-US"/>
        </w:rPr>
        <w:t>super-enhancers (Khan &amp; Zhang, 2016)</w:t>
      </w:r>
      <w:r>
        <w:rPr>
          <w:rtl w:val="0"/>
          <w:lang w:val="en-US"/>
        </w:rPr>
        <w:t xml:space="preserve"> and the surrounding regions. </w:t>
      </w:r>
    </w:p>
    <w:p>
      <w:pPr>
        <w:pStyle w:val="8"/>
        <w:framePr w:w="0" w:hRule="auto" w:wrap="auto" w:vAnchor="margin" w:hAnchor="text" w:yAlign="inline"/>
        <w:spacing w:after="0" w:line="360" w:lineRule="auto"/>
      </w:pPr>
    </w:p>
    <w:p>
      <w:pPr>
        <w:pStyle w:val="8"/>
        <w:framePr w:w="0" w:hRule="auto" w:wrap="auto" w:vAnchor="margin" w:hAnchor="text" w:yAlign="inline"/>
        <w:spacing w:after="0" w:line="360" w:lineRule="auto"/>
        <w:rPr>
          <w:shd w:val="clear" w:color="auto" w:fill="FFFF00"/>
        </w:rPr>
      </w:pPr>
      <w:r>
        <w:rPr>
          <w:shd w:val="clear" w:color="auto" w:fill="FFFF00"/>
          <w:rtl w:val="0"/>
          <w:lang w:val="en-US"/>
        </w:rPr>
        <w:t>The enrichment of histone marks at enhancers/super-enhancers overlapping IS was compared between active and quiescent cells, depending on gene status (induced, repressed or unchanged). We used the Wilcoxon rank-sum test to assess the significance of the enrichment difference.</w:t>
      </w:r>
    </w:p>
    <w:p>
      <w:pPr>
        <w:pStyle w:val="8"/>
        <w:framePr w:w="0" w:hRule="auto" w:wrap="auto" w:vAnchor="margin" w:hAnchor="text" w:yAlign="inline"/>
        <w:spacing w:after="0" w:line="360" w:lineRule="auto"/>
      </w:pPr>
    </w:p>
    <w:p>
      <w:pPr>
        <w:pStyle w:val="8"/>
        <w:framePr w:w="0" w:hRule="auto" w:wrap="auto" w:vAnchor="margin" w:hAnchor="text" w:yAlign="inline"/>
        <w:spacing w:after="0" w:line="360" w:lineRule="auto"/>
        <w:rPr>
          <w:b/>
          <w:bCs/>
        </w:rPr>
      </w:pPr>
      <w:r>
        <w:rPr>
          <w:b/>
          <w:bCs/>
          <w:rtl w:val="0"/>
          <w:lang w:val="en-US"/>
        </w:rPr>
        <w:t>Interaction between IS analysis in Hi-C</w:t>
      </w:r>
    </w:p>
    <w:p>
      <w:pPr>
        <w:pStyle w:val="8"/>
        <w:framePr w:w="0" w:hRule="auto" w:wrap="auto" w:vAnchor="margin" w:hAnchor="text" w:yAlign="inline"/>
        <w:spacing w:after="0" w:line="360" w:lineRule="auto"/>
        <w:rPr>
          <w:rFonts w:hint="default"/>
          <w:rtl w:val="0"/>
        </w:rPr>
      </w:pPr>
      <w:r>
        <w:rPr>
          <w:rtl w:val="0"/>
          <w:lang w:val="en-US"/>
        </w:rPr>
        <w:t xml:space="preserve">To see if IS are more in contact in 3D context we split Hi-C normalized contact into </w:t>
      </w:r>
      <w:r>
        <w:rPr>
          <w:rtl w:val="0"/>
        </w:rPr>
        <w:t>ten</w:t>
      </w:r>
      <w:r>
        <w:rPr>
          <w:rtl w:val="0"/>
          <w:lang w:val="en-US"/>
        </w:rPr>
        <w:t xml:space="preserve"> equally sized groups (</w:t>
      </w:r>
      <w:r>
        <w:rPr>
          <w:shd w:val="clear" w:color="auto" w:fill="FEFC78"/>
          <w:rtl w:val="0"/>
        </w:rPr>
        <w:t>at 50 kb</w:t>
      </w:r>
      <w:r>
        <w:rPr>
          <w:shd w:val="clear" w:color="auto" w:fill="FEFC78"/>
          <w:rtl w:val="0"/>
          <w:lang w:val="en-US"/>
        </w:rPr>
        <w:t xml:space="preserve"> resolution</w:t>
      </w:r>
      <w:r>
        <w:rPr>
          <w:rtl w:val="0"/>
          <w:lang w:val="en-US"/>
        </w:rPr>
        <w:t>) and count the proportion of IS contacting IS</w:t>
      </w:r>
      <w:r>
        <w:rPr>
          <w:rFonts w:hint="default"/>
          <w:rtl w:val="0"/>
        </w:rPr>
        <w:t xml:space="preserve"> (or IS contacting others regions).</w:t>
      </w:r>
    </w:p>
    <w:p>
      <w:pPr>
        <w:pStyle w:val="8"/>
        <w:framePr w:w="0" w:hRule="auto" w:wrap="auto" w:vAnchor="margin" w:hAnchor="text" w:yAlign="inline"/>
        <w:spacing w:after="0" w:line="360" w:lineRule="auto"/>
        <w:rPr>
          <w:rFonts w:hint="default"/>
          <w:rtl w:val="0"/>
        </w:rPr>
      </w:pPr>
    </w:p>
    <w:p>
      <w:pPr>
        <w:pStyle w:val="8"/>
        <w:framePr w:w="0" w:hRule="auto" w:wrap="auto" w:vAnchor="margin" w:hAnchor="text" w:yAlign="inline"/>
        <w:spacing w:after="0" w:line="360" w:lineRule="auto"/>
        <w:rPr>
          <w:b/>
          <w:bCs/>
        </w:rPr>
      </w:pPr>
      <w:r>
        <w:rPr>
          <w:b/>
          <w:bCs/>
          <w:rtl w:val="0"/>
          <w:lang w:val="en-US"/>
        </w:rPr>
        <w:t>APA analysis</w:t>
      </w:r>
    </w:p>
    <w:p>
      <w:pPr>
        <w:pStyle w:val="8"/>
        <w:framePr w:w="0" w:hRule="auto" w:wrap="auto" w:vAnchor="margin" w:hAnchor="text" w:yAlign="inline"/>
        <w:spacing w:after="0" w:line="360" w:lineRule="auto"/>
        <w:rPr>
          <w:rFonts w:hint="default"/>
          <w:rtl w:val="0"/>
          <w:lang w:val="en-US"/>
        </w:rPr>
      </w:pPr>
      <w:r>
        <w:rPr>
          <w:rFonts w:hint="default"/>
          <w:rtl w:val="0"/>
          <w:lang w:val="en-US"/>
        </w:rPr>
        <w:t xml:space="preserve">To test the specific interaction between IS-IS, IS-TSS and IS-enhancers/super-enhancers in elite controllers (De novo EC IS), healthy donors (De novo HD IS) and cART-treated studies (cART all IS), respectively, we use Hi-C matrix normalized at 50 kb resolution. Then we aggregate all local matrices by computing the mean of normalized contacts between all pairs that have a minimal distance of 1 Mb. </w:t>
      </w:r>
    </w:p>
    <w:p>
      <w:pPr>
        <w:pStyle w:val="8"/>
        <w:framePr w:w="0" w:hRule="auto" w:wrap="auto" w:vAnchor="margin" w:hAnchor="text" w:yAlign="inline"/>
        <w:spacing w:after="0" w:line="360" w:lineRule="auto"/>
        <w:rPr>
          <w:rFonts w:hint="default"/>
          <w:rtl w:val="0"/>
          <w:lang w:val="en-US"/>
        </w:rPr>
      </w:pPr>
    </w:p>
    <w:p>
      <w:pPr>
        <w:pStyle w:val="8"/>
        <w:framePr w:w="0" w:hRule="auto" w:wrap="auto" w:vAnchor="margin" w:hAnchor="text" w:yAlign="inline"/>
        <w:spacing w:after="0" w:line="360" w:lineRule="auto"/>
        <w:rPr>
          <w:b/>
          <w:bCs/>
        </w:rPr>
      </w:pPr>
      <w:r>
        <w:rPr>
          <w:b/>
          <w:bCs/>
          <w:rtl w:val="0"/>
          <w:lang w:val="en-US"/>
        </w:rPr>
        <w:t>APA differential boxplot</w:t>
      </w:r>
    </w:p>
    <w:p>
      <w:pPr>
        <w:pStyle w:val="8"/>
        <w:framePr w:w="0" w:hRule="auto" w:wrap="auto" w:vAnchor="margin" w:hAnchor="text" w:yAlign="inline"/>
        <w:spacing w:after="0" w:line="360" w:lineRule="auto"/>
      </w:pPr>
      <w:r>
        <w:rPr>
          <w:rtl w:val="0"/>
          <w:lang w:val="en-US"/>
        </w:rPr>
        <w:t>We take the center of APA matrix and normali</w:t>
      </w:r>
      <w:r>
        <w:rPr>
          <w:rtl w:val="0"/>
        </w:rPr>
        <w:t>z</w:t>
      </w:r>
      <w:r>
        <w:rPr>
          <w:rtl w:val="0"/>
          <w:lang w:val="en-US"/>
        </w:rPr>
        <w:t>e by the bottom right of APA to have a factor of correction. We then apply this factor on all values of the matrices and performed a two-sided pairwise</w:t>
      </w:r>
      <w:r>
        <w:rPr>
          <w:rtl w:val="0"/>
        </w:rPr>
        <w:t xml:space="preserve"> </w:t>
      </w:r>
      <w:r>
        <w:rPr>
          <w:rtl w:val="0"/>
          <w:lang w:val="en-US"/>
        </w:rPr>
        <w:t>Wilcoxon rank-sum test. The enhancer annotation came from http://enhanceratlas.org/ (CD4+ ells).</w:t>
      </w:r>
    </w:p>
    <w:p>
      <w:pPr>
        <w:pStyle w:val="8"/>
        <w:framePr w:w="0" w:hRule="auto" w:wrap="auto" w:vAnchor="margin" w:hAnchor="text" w:yAlign="inline"/>
        <w:spacing w:after="0" w:line="360" w:lineRule="auto"/>
      </w:pPr>
    </w:p>
    <w:p>
      <w:pPr>
        <w:pStyle w:val="8"/>
        <w:framePr w:w="0" w:hRule="auto" w:wrap="auto" w:vAnchor="margin" w:hAnchor="text" w:yAlign="inline"/>
        <w:spacing w:after="0" w:line="360" w:lineRule="auto"/>
        <w:outlineLvl w:val="0"/>
        <w:rPr>
          <w:b/>
          <w:bCs/>
        </w:rPr>
      </w:pPr>
      <w:r>
        <w:rPr>
          <w:b/>
          <w:bCs/>
          <w:rtl w:val="0"/>
          <w:lang w:val="en-US"/>
        </w:rPr>
        <w:t>Construction of Promoter Capture Hi-C and Reciprocal Capture Hi-C network</w:t>
      </w:r>
    </w:p>
    <w:p>
      <w:pPr>
        <w:pStyle w:val="8"/>
        <w:framePr w:w="0" w:hRule="auto" w:wrap="auto" w:vAnchor="margin" w:hAnchor="text" w:yAlign="inline"/>
        <w:spacing w:after="0" w:line="360" w:lineRule="auto"/>
      </w:pPr>
      <w:r>
        <w:rPr>
          <w:rtl w:val="0"/>
          <w:lang w:val="en-US"/>
        </w:rPr>
        <w:t>We used processed Promotor Capture data from Javierre et al., 2016 (</w:t>
      </w:r>
      <w:r>
        <w:rPr>
          <w:rStyle w:val="12"/>
        </w:rPr>
        <w:fldChar w:fldCharType="begin"/>
      </w:r>
      <w:r>
        <w:rPr>
          <w:rStyle w:val="12"/>
        </w:rPr>
        <w:instrText xml:space="preserve"> HYPERLINK "https://osf.io/u8tzp"</w:instrText>
      </w:r>
      <w:r>
        <w:rPr>
          <w:rStyle w:val="12"/>
        </w:rPr>
        <w:fldChar w:fldCharType="separate"/>
      </w:r>
      <w:r>
        <w:rPr>
          <w:rStyle w:val="12"/>
          <w:rtl w:val="0"/>
        </w:rPr>
        <w:t>https://osf.io/u8tzp</w:t>
      </w:r>
      <w:r>
        <w:fldChar w:fldCharType="end"/>
      </w:r>
      <w:r>
        <w:rPr>
          <w:rtl w:val="0"/>
          <w:lang w:val="en-US"/>
        </w:rPr>
        <w:t>). Briefly, data were mapped to GRCh37 using the HiCUP pipeline (</w:t>
      </w:r>
      <w:r>
        <w:rPr>
          <w:rStyle w:val="12"/>
        </w:rPr>
        <w:fldChar w:fldCharType="begin"/>
      </w:r>
      <w:r>
        <w:rPr>
          <w:rStyle w:val="12"/>
        </w:rPr>
        <w:instrText xml:space="preserve"> HYPERLINK "https://www.bioinformatics.babraham.ac.uk/projects/hicup/"</w:instrText>
      </w:r>
      <w:r>
        <w:rPr>
          <w:rStyle w:val="12"/>
        </w:rPr>
        <w:fldChar w:fldCharType="separate"/>
      </w:r>
      <w:r>
        <w:rPr>
          <w:rStyle w:val="12"/>
          <w:rtl w:val="0"/>
          <w:lang w:val="en-US"/>
        </w:rPr>
        <w:t>https://www.bioinformatics.babraham.ac.uk/projects/hicup/</w:t>
      </w:r>
      <w:r>
        <w:fldChar w:fldCharType="end"/>
      </w:r>
      <w:r>
        <w:rPr>
          <w:rtl w:val="0"/>
          <w:lang w:val="en-US"/>
        </w:rPr>
        <w:t>), and interaction confidence scores were computed using the CHiCAGO pipeline (Cairns et al., 2016). We considered the set of interactions with high confidence scores (&gt;=5) in this paper. We then constructed a network with significant interactions using igraph R package (version 1.1.2). Each node of the network represents HindIII fragments, and edges represent a significant interaction between two HindIII fragments. We constructed three networks. One for resting CD4 T cells (naCD4) specific interactions, one for Activated CD4 T cells (aCD4) specific interactions and one by merging all significant interactions between Resting and Activated CD4 T cells.</w:t>
      </w:r>
    </w:p>
    <w:p>
      <w:pPr>
        <w:pStyle w:val="8"/>
        <w:framePr w:w="0" w:hRule="auto" w:wrap="auto" w:vAnchor="margin" w:hAnchor="text" w:yAlign="inline"/>
        <w:spacing w:after="0" w:line="360" w:lineRule="auto"/>
      </w:pPr>
      <w:r>
        <w:rPr>
          <w:rtl w:val="0"/>
          <w:lang w:val="en-US"/>
        </w:rPr>
        <w:t>We used the R package igraph to analyze contact networks and visNetwork (v2.0.8) for visualization.</w:t>
      </w:r>
    </w:p>
    <w:p>
      <w:pPr>
        <w:pStyle w:val="8"/>
        <w:framePr w:w="0" w:hRule="auto" w:wrap="auto" w:vAnchor="margin" w:hAnchor="text" w:yAlign="inline"/>
        <w:spacing w:after="0" w:line="360" w:lineRule="auto"/>
      </w:pPr>
    </w:p>
    <w:p>
      <w:pPr>
        <w:pStyle w:val="8"/>
        <w:framePr w:w="0" w:hRule="auto" w:wrap="auto" w:vAnchor="margin" w:hAnchor="text" w:yAlign="inline"/>
        <w:spacing w:after="0" w:line="360" w:lineRule="auto"/>
        <w:outlineLvl w:val="0"/>
        <w:rPr>
          <w:b/>
          <w:bCs/>
        </w:rPr>
      </w:pPr>
      <w:r>
        <w:rPr>
          <w:b/>
          <w:bCs/>
          <w:rtl w:val="0"/>
          <w:lang w:val="en-US"/>
        </w:rPr>
        <w:t>Assortativity of HIV-1 I</w:t>
      </w:r>
      <w:r>
        <w:rPr>
          <w:b/>
          <w:bCs/>
          <w:rtl w:val="0"/>
        </w:rPr>
        <w:t>S</w:t>
      </w:r>
    </w:p>
    <w:p>
      <w:pPr>
        <w:pStyle w:val="8"/>
        <w:framePr w:w="0" w:hRule="auto" w:wrap="auto" w:vAnchor="margin" w:hAnchor="text" w:yAlign="inline"/>
        <w:spacing w:after="0" w:line="360" w:lineRule="auto"/>
      </w:pPr>
      <w:r>
        <w:rPr>
          <w:rtl w:val="0"/>
          <w:lang w:val="en-US"/>
        </w:rPr>
        <w:t xml:space="preserve">We used the R data.table package to annotate HindIII fragments harbouring one or more IS (Boolean value) using foverlaps function. Assortativity was then computed on the constructed network using the R igraph package. To give significance to computed assortativity of IS, we randomly selected the same amount of nodes as those with IS and thus computed a </w:t>
      </w:r>
      <w:r>
        <w:rPr>
          <w:rtl w:val="0"/>
        </w:rPr>
        <w:t>“</w:t>
      </w:r>
      <w:r>
        <w:rPr>
          <w:rtl w:val="0"/>
          <w:lang w:val="it-IT"/>
        </w:rPr>
        <w:t>control</w:t>
      </w:r>
      <w:r>
        <w:rPr>
          <w:rtl w:val="0"/>
        </w:rPr>
        <w:t xml:space="preserve">” </w:t>
      </w:r>
      <w:r>
        <w:rPr>
          <w:rtl w:val="0"/>
          <w:lang w:val="it-IT"/>
        </w:rPr>
        <w:t>assortativity.</w:t>
      </w:r>
    </w:p>
    <w:p>
      <w:pPr>
        <w:pStyle w:val="8"/>
        <w:framePr w:w="0" w:hRule="auto" w:wrap="auto" w:vAnchor="margin" w:hAnchor="text" w:yAlign="inline"/>
        <w:spacing w:after="0" w:line="360" w:lineRule="auto"/>
      </w:pPr>
    </w:p>
    <w:p>
      <w:pPr>
        <w:pStyle w:val="8"/>
        <w:framePr w:w="0" w:hRule="auto" w:wrap="auto" w:vAnchor="margin" w:hAnchor="text" w:yAlign="inline"/>
        <w:spacing w:after="0" w:line="360" w:lineRule="auto"/>
        <w:outlineLvl w:val="0"/>
        <w:rPr>
          <w:b/>
          <w:bCs/>
        </w:rPr>
      </w:pPr>
      <w:r>
        <w:rPr>
          <w:b/>
          <w:bCs/>
          <w:rtl w:val="0"/>
          <w:lang w:val="en-US"/>
        </w:rPr>
        <w:t>Enrichment of IS in the network</w:t>
      </w:r>
    </w:p>
    <w:p>
      <w:pPr>
        <w:pStyle w:val="8"/>
        <w:framePr w:w="0" w:hRule="auto" w:wrap="auto" w:vAnchor="margin" w:hAnchor="text" w:yAlign="inline"/>
        <w:spacing w:after="0" w:line="360" w:lineRule="auto"/>
      </w:pPr>
      <w:r>
        <w:rPr>
          <w:rtl w:val="0"/>
          <w:lang w:val="en-US"/>
        </w:rPr>
        <w:t xml:space="preserve">The majority of IS are found in what we termed a super-graph, so we decided to cluster the super-graph into communities using the </w:t>
      </w:r>
      <w:r>
        <w:rPr>
          <w:rFonts w:ascii="Courier" w:hAnsi="Courier"/>
          <w:i/>
          <w:iCs/>
          <w:rtl w:val="0"/>
          <w:lang w:val="en-US"/>
        </w:rPr>
        <w:t>fastgreedy.community</w:t>
      </w:r>
      <w:r>
        <w:rPr>
          <w:rtl w:val="0"/>
          <w:lang w:val="en-US"/>
        </w:rPr>
        <w:t xml:space="preserve"> function implemented in the igraph R package. This function uses a measure of modularity; it compares the number of intra versus inter-community connections to optimize clustering.</w:t>
      </w:r>
    </w:p>
    <w:p>
      <w:pPr>
        <w:pStyle w:val="8"/>
        <w:framePr w:w="0" w:hRule="auto" w:wrap="auto" w:vAnchor="margin" w:hAnchor="text" w:yAlign="inline"/>
        <w:spacing w:after="0" w:line="360" w:lineRule="auto"/>
      </w:pPr>
    </w:p>
    <w:p>
      <w:pPr>
        <w:pStyle w:val="8"/>
        <w:framePr w:w="0" w:hRule="auto" w:wrap="auto" w:vAnchor="margin" w:hAnchor="text" w:yAlign="inline"/>
        <w:spacing w:after="0" w:line="360" w:lineRule="auto"/>
      </w:pPr>
      <w:r>
        <w:rPr>
          <w:rtl w:val="0"/>
          <w:lang w:val="en-US"/>
        </w:rPr>
        <w:t>TPM values for each fragment were calculated using the mean TPM from 2 donors. We first computed the mean TPM of all genes, then selected genes that overlap each fragment. If there were multiple genes per fragment, we used their median values.</w:t>
      </w:r>
    </w:p>
    <w:p>
      <w:pPr>
        <w:pStyle w:val="8"/>
        <w:framePr w:w="0" w:hRule="auto" w:wrap="auto" w:vAnchor="margin" w:hAnchor="text" w:yAlign="inline"/>
        <w:spacing w:after="0" w:line="360" w:lineRule="auto"/>
      </w:pPr>
    </w:p>
    <w:p>
      <w:pPr>
        <w:pStyle w:val="8"/>
        <w:framePr w:w="0" w:hRule="auto" w:wrap="auto" w:vAnchor="margin" w:hAnchor="text" w:yAlign="inline"/>
        <w:spacing w:after="0" w:line="360" w:lineRule="auto"/>
      </w:pPr>
      <w:r>
        <w:rPr>
          <w:rtl w:val="0"/>
          <w:lang w:val="en-US"/>
        </w:rPr>
        <w:t>The size of graphs or communities corresponds to the total length of fragments (in bp). To measure the enrichment of IS we used a binomial law with the number of fragment with IS and size of graph/community (in bp). The probability is calculated as the total number of IS in captured fragments divided by the total length of captured fragments.</w:t>
      </w:r>
    </w:p>
    <w:p>
      <w:pPr>
        <w:pStyle w:val="8"/>
        <w:framePr w:w="0" w:hRule="auto" w:wrap="auto" w:vAnchor="margin" w:hAnchor="text" w:yAlign="inline"/>
        <w:spacing w:after="0" w:line="360" w:lineRule="auto"/>
      </w:pPr>
    </w:p>
    <w:p>
      <w:pPr>
        <w:pStyle w:val="8"/>
        <w:framePr w:w="0" w:hRule="auto" w:wrap="auto" w:vAnchor="margin" w:hAnchor="text" w:yAlign="inline"/>
        <w:spacing w:after="0" w:line="360" w:lineRule="auto"/>
      </w:pPr>
      <w:r>
        <w:rPr>
          <w:rtl w:val="0"/>
          <w:lang w:val="en-US"/>
        </w:rPr>
        <w:t xml:space="preserve">p(fragment with IS) = </w:t>
      </w:r>
      <w:r>
        <w:rPr>
          <w:rtl w:val="0"/>
        </w:rPr>
        <w:t xml:space="preserve">∑ </w:t>
      </w:r>
      <w:r>
        <w:rPr>
          <w:rtl w:val="0"/>
          <w:lang w:val="en-US"/>
        </w:rPr>
        <w:t>(length of fragment with IS)/</w:t>
      </w:r>
      <w:r>
        <w:rPr>
          <w:rtl w:val="0"/>
        </w:rPr>
        <w:t xml:space="preserve">∑ </w:t>
      </w:r>
      <w:r>
        <w:rPr>
          <w:rtl w:val="0"/>
          <w:lang w:val="en-US"/>
        </w:rPr>
        <w:t>(length of all captured fragments)</w:t>
      </w:r>
    </w:p>
    <w:p>
      <w:pPr>
        <w:pStyle w:val="10"/>
        <w:framePr w:w="0" w:hRule="auto" w:wrap="auto" w:vAnchor="margin" w:hAnchor="text" w:yAlign="inline"/>
        <w:spacing w:after="0" w:line="360" w:lineRule="auto"/>
        <w:ind w:left="0" w:firstLine="0"/>
      </w:pPr>
    </w:p>
    <w:p>
      <w:pPr>
        <w:pStyle w:val="8"/>
        <w:framePr w:w="0" w:hRule="auto" w:wrap="auto" w:vAnchor="margin" w:hAnchor="text" w:yAlign="inline"/>
        <w:spacing w:after="0" w:line="360" w:lineRule="auto"/>
        <w:outlineLvl w:val="0"/>
        <w:rPr>
          <w:b/>
          <w:bCs/>
        </w:rPr>
      </w:pPr>
      <w:r>
        <w:rPr>
          <w:b/>
          <w:bCs/>
          <w:rtl w:val="0"/>
          <w:lang w:val="en-US"/>
        </w:rPr>
        <w:t>Transcriptional and epigenetic analysis of communities enriched with IS versus not enriched with IS</w:t>
      </w:r>
    </w:p>
    <w:p>
      <w:pPr>
        <w:pStyle w:val="8"/>
        <w:framePr w:w="0" w:hRule="auto" w:wrap="auto" w:vAnchor="margin" w:hAnchor="text" w:yAlign="inline"/>
        <w:spacing w:after="0" w:line="360" w:lineRule="auto"/>
      </w:pPr>
      <w:r>
        <w:rPr>
          <w:rtl w:val="0"/>
          <w:lang w:val="en-US"/>
        </w:rPr>
        <w:t xml:space="preserve">Groups are based on enrichment in IS from the cART studies: </w:t>
      </w:r>
      <w:r>
        <w:rPr>
          <w:rtl w:val="0"/>
        </w:rPr>
        <w:t>“</w:t>
      </w:r>
      <w:r>
        <w:rPr>
          <w:rtl w:val="0"/>
          <w:lang w:val="fr-FR"/>
        </w:rPr>
        <w:t>enriched</w:t>
      </w:r>
      <w:r>
        <w:rPr>
          <w:rtl w:val="0"/>
        </w:rPr>
        <w:t xml:space="preserve">” </w:t>
      </w:r>
      <w:r>
        <w:rPr>
          <w:rtl w:val="0"/>
          <w:lang w:val="en-US"/>
        </w:rPr>
        <w:t>when</w:t>
      </w:r>
      <w:r>
        <w:rPr>
          <w:shd w:val="clear" w:color="auto" w:fill="FEFC78"/>
          <w:rtl w:val="0"/>
          <w:lang w:val="en-US"/>
        </w:rPr>
        <w:t xml:space="preserve"> p-value &lt;= 0.05, "not enriched" when p-value &gt; 0.05</w:t>
      </w:r>
      <w:r>
        <w:rPr>
          <w:rtl w:val="0"/>
          <w:lang w:val="en-US"/>
        </w:rPr>
        <w:t xml:space="preserve"> &amp; number of IS &gt; 0, without IS when number of IS == 0.</w:t>
      </w:r>
    </w:p>
    <w:p>
      <w:pPr>
        <w:pStyle w:val="8"/>
        <w:framePr w:w="0" w:hRule="auto" w:wrap="auto" w:vAnchor="margin" w:hAnchor="text" w:yAlign="inline"/>
        <w:spacing w:after="0" w:line="360" w:lineRule="auto"/>
      </w:pPr>
      <w:r>
        <w:rPr>
          <w:rtl w:val="0"/>
          <w:lang w:val="en-US"/>
        </w:rPr>
        <w:t xml:space="preserve">For TT-seq data we used the median of fragment TPMs overlapping genes by communities. For </w:t>
      </w:r>
      <w:r>
        <w:rPr>
          <w:rtl w:val="0"/>
        </w:rPr>
        <w:t>ChIP</w:t>
      </w:r>
      <w:r>
        <w:rPr>
          <w:rtl w:val="0"/>
          <w:lang w:val="en-US"/>
        </w:rPr>
        <w:t>-seq data, we compute the normali</w:t>
      </w:r>
      <w:r>
        <w:rPr>
          <w:rtl w:val="0"/>
        </w:rPr>
        <w:t>z</w:t>
      </w:r>
      <w:r>
        <w:rPr>
          <w:rtl w:val="0"/>
          <w:lang w:val="en-US"/>
        </w:rPr>
        <w:t>ed mean of the signal by fragment and use mean of this value for each community.</w:t>
      </w:r>
    </w:p>
    <w:p>
      <w:pPr>
        <w:pStyle w:val="8"/>
        <w:framePr w:w="0" w:hRule="auto" w:wrap="auto" w:vAnchor="margin" w:hAnchor="text" w:yAlign="inline"/>
        <w:spacing w:after="0" w:line="360" w:lineRule="auto"/>
      </w:pPr>
    </w:p>
    <w:p>
      <w:pPr>
        <w:pStyle w:val="8"/>
        <w:framePr w:w="0" w:hRule="auto" w:wrap="auto" w:vAnchor="margin" w:hAnchor="text" w:yAlign="inline"/>
        <w:spacing w:after="0" w:line="360" w:lineRule="auto"/>
        <w:rPr>
          <w:b/>
          <w:bCs/>
        </w:rPr>
      </w:pPr>
      <w:r>
        <w:rPr>
          <w:b/>
          <w:bCs/>
          <w:rtl w:val="0"/>
        </w:rPr>
        <w:t>Bootstrapping IS present in A/B compartments</w:t>
      </w:r>
    </w:p>
    <w:p>
      <w:pPr>
        <w:pStyle w:val="8"/>
        <w:framePr w:w="0" w:hRule="auto" w:wrap="auto" w:vAnchor="margin" w:hAnchor="text" w:yAlign="inline"/>
        <w:spacing w:after="0" w:line="360" w:lineRule="auto"/>
      </w:pPr>
      <w:r>
        <w:rPr>
          <w:rtl w:val="0"/>
        </w:rPr>
        <w:t>IS, including “</w:t>
      </w:r>
      <w:r>
        <w:rPr>
          <w:rtl w:val="0"/>
          <w:lang w:val="en-US"/>
        </w:rPr>
        <w:t>cART IS untreat</w:t>
      </w:r>
      <w:r>
        <w:rPr>
          <w:rtl w:val="0"/>
        </w:rPr>
        <w:t>”, “</w:t>
      </w:r>
      <w:r>
        <w:rPr>
          <w:rtl w:val="0"/>
          <w:lang w:val="en-US"/>
        </w:rPr>
        <w:t>cART IS short treatment</w:t>
      </w:r>
      <w:r>
        <w:rPr>
          <w:rtl w:val="0"/>
        </w:rPr>
        <w:t>”, “</w:t>
      </w:r>
      <w:r>
        <w:rPr>
          <w:rtl w:val="0"/>
          <w:lang w:val="en-US"/>
        </w:rPr>
        <w:t>cART IS long treatment</w:t>
      </w:r>
      <w:r>
        <w:rPr>
          <w:rtl w:val="0"/>
        </w:rPr>
        <w:t>”, “Long term EC IS”, “De novo EC IS” and “De novo HD IS” were overlapped with A/B compartments matrices defined in primary CD4 T cells (</w:t>
      </w:r>
      <w:r>
        <w:rPr>
          <w:rStyle w:val="12"/>
        </w:rPr>
        <w:fldChar w:fldCharType="begin"/>
      </w:r>
      <w:r>
        <w:rPr>
          <w:rStyle w:val="12"/>
        </w:rPr>
        <w:instrText xml:space="preserve"> HYPERLINK "https://www.ncbi.nlm.nih.gov/geo/query/acc.cgi?acc=GSE138767"</w:instrText>
      </w:r>
      <w:r>
        <w:rPr>
          <w:rStyle w:val="12"/>
        </w:rPr>
        <w:fldChar w:fldCharType="separate"/>
      </w:r>
      <w:r>
        <w:rPr>
          <w:rStyle w:val="12"/>
          <w:rtl w:val="0"/>
        </w:rPr>
        <w:t>GSE138767</w:t>
      </w:r>
      <w:r>
        <w:fldChar w:fldCharType="end"/>
      </w:r>
      <w:r>
        <w:rPr>
          <w:rtl w:val="0"/>
        </w:rPr>
        <w:t xml:space="preserve">) (Yang et al., 2020) by using BEDTools (Quinlan and Hall, 2010) with the command </w:t>
      </w:r>
      <w:r>
        <w:rPr>
          <w:rFonts w:ascii="Courier" w:hAnsi="Courier"/>
          <w:rtl w:val="0"/>
        </w:rPr>
        <w:t xml:space="preserve">intersect </w:t>
      </w:r>
      <w:r>
        <w:rPr>
          <w:rtl w:val="0"/>
        </w:rPr>
        <w:t>and the opinions</w:t>
      </w:r>
      <w:r>
        <w:rPr>
          <w:rFonts w:ascii="Courier" w:hAnsi="Courier"/>
          <w:rtl w:val="0"/>
        </w:rPr>
        <w:t xml:space="preserve"> -wa </w:t>
      </w:r>
      <w:r>
        <w:rPr>
          <w:rtl w:val="0"/>
        </w:rPr>
        <w:t>and</w:t>
      </w:r>
      <w:r>
        <w:rPr>
          <w:rFonts w:ascii="Courier" w:hAnsi="Courier"/>
          <w:rtl w:val="0"/>
        </w:rPr>
        <w:t xml:space="preserve"> -wb</w:t>
      </w:r>
      <w:r>
        <w:rPr>
          <w:rtl w:val="0"/>
        </w:rPr>
        <w:t>. 200 IS in each IS category were randomly sampling with replacement; the process was repeated 10,000 times. Statistical tests were performed with R with default options.</w:t>
      </w:r>
    </w:p>
    <w:p>
      <w:pPr>
        <w:pStyle w:val="8"/>
        <w:framePr w:w="0" w:hRule="auto" w:wrap="auto" w:vAnchor="margin" w:hAnchor="text" w:yAlign="inline"/>
        <w:spacing w:after="0" w:line="360" w:lineRule="auto"/>
      </w:pPr>
    </w:p>
    <w:p>
      <w:pPr>
        <w:pStyle w:val="8"/>
        <w:framePr w:w="0" w:hRule="auto" w:wrap="auto" w:vAnchor="margin" w:hAnchor="text" w:yAlign="inline"/>
        <w:spacing w:after="0" w:line="360" w:lineRule="auto"/>
      </w:pPr>
      <w:r>
        <w:rPr>
          <w:b/>
          <w:bCs/>
          <w:rtl w:val="0"/>
        </w:rPr>
        <w:t>Bootstrapping IS present in satellite DNA, SINES and LINES</w:t>
      </w:r>
    </w:p>
    <w:p>
      <w:pPr>
        <w:pStyle w:val="8"/>
        <w:framePr w:w="0" w:hRule="auto" w:wrap="auto" w:vAnchor="margin" w:hAnchor="text" w:yAlign="inline"/>
        <w:spacing w:after="0" w:line="360" w:lineRule="auto"/>
      </w:pPr>
      <w:r>
        <w:rPr>
          <w:rtl w:val="0"/>
        </w:rPr>
        <w:t>IS, including “</w:t>
      </w:r>
      <w:r>
        <w:rPr>
          <w:rtl w:val="0"/>
          <w:lang w:val="en-US"/>
        </w:rPr>
        <w:t>cART IS untreat</w:t>
      </w:r>
      <w:r>
        <w:rPr>
          <w:rtl w:val="0"/>
        </w:rPr>
        <w:t>”, “</w:t>
      </w:r>
      <w:r>
        <w:rPr>
          <w:rtl w:val="0"/>
          <w:lang w:val="en-US"/>
        </w:rPr>
        <w:t>cART IS short treatment</w:t>
      </w:r>
      <w:r>
        <w:rPr>
          <w:rtl w:val="0"/>
        </w:rPr>
        <w:t>”, “</w:t>
      </w:r>
      <w:r>
        <w:rPr>
          <w:rtl w:val="0"/>
          <w:lang w:val="en-US"/>
        </w:rPr>
        <w:t>cART IS long treatment</w:t>
      </w:r>
      <w:r>
        <w:rPr>
          <w:rtl w:val="0"/>
        </w:rPr>
        <w:t>”, “Long term EC IS”, “De novo EC IS” and “De novo HD IS” were overlapped with human hg38 genomic repeats (</w:t>
      </w:r>
      <w:r>
        <w:rPr>
          <w:rStyle w:val="12"/>
        </w:rPr>
        <w:fldChar w:fldCharType="begin"/>
      </w:r>
      <w:r>
        <w:rPr>
          <w:rStyle w:val="12"/>
        </w:rPr>
        <w:instrText xml:space="preserve"> HYPERLINK "https://www.repeatmasker.org/species/hg.html"</w:instrText>
      </w:r>
      <w:r>
        <w:rPr>
          <w:rStyle w:val="12"/>
        </w:rPr>
        <w:fldChar w:fldCharType="separate"/>
      </w:r>
      <w:r>
        <w:rPr>
          <w:rStyle w:val="12"/>
          <w:rtl w:val="0"/>
          <w:lang w:val="en-US"/>
        </w:rPr>
        <w:t>https://www.repeatmasker.org/species/hg.html</w:t>
      </w:r>
      <w:r>
        <w:fldChar w:fldCharType="end"/>
      </w:r>
      <w:r>
        <w:rPr>
          <w:rtl w:val="0"/>
        </w:rPr>
        <w:t>) released by RepeatMasker (</w:t>
      </w:r>
      <w:r>
        <w:rPr>
          <w:rtl w:val="0"/>
          <w:lang w:val="de-DE"/>
        </w:rPr>
        <w:t>Smit</w:t>
      </w:r>
      <w:r>
        <w:rPr>
          <w:rtl w:val="0"/>
        </w:rPr>
        <w:t xml:space="preserve"> et al.) by using BEDTools (Quinlan and Hall, 2010) with the command </w:t>
      </w:r>
      <w:r>
        <w:rPr>
          <w:rFonts w:ascii="Courier" w:hAnsi="Courier"/>
          <w:rtl w:val="0"/>
        </w:rPr>
        <w:t xml:space="preserve">intersect </w:t>
      </w:r>
      <w:r>
        <w:rPr>
          <w:rtl w:val="0"/>
        </w:rPr>
        <w:t>and the opinions</w:t>
      </w:r>
      <w:r>
        <w:rPr>
          <w:rFonts w:ascii="Courier" w:hAnsi="Courier"/>
          <w:rtl w:val="0"/>
        </w:rPr>
        <w:t xml:space="preserve"> -wa </w:t>
      </w:r>
      <w:r>
        <w:rPr>
          <w:rtl w:val="0"/>
        </w:rPr>
        <w:t xml:space="preserve">and </w:t>
      </w:r>
      <w:r>
        <w:rPr>
          <w:rFonts w:ascii="Courier" w:hAnsi="Courier"/>
          <w:rtl w:val="0"/>
        </w:rPr>
        <w:t>-wb</w:t>
      </w:r>
      <w:r>
        <w:rPr>
          <w:rtl w:val="0"/>
        </w:rPr>
        <w:t>. 200 IS in each IS category were randomly sampling with replacement; the process was repeated 10,000 times. Statistical tests were performed with R with default options.</w:t>
      </w:r>
    </w:p>
    <w:p>
      <w:pPr>
        <w:pStyle w:val="8"/>
        <w:framePr w:w="0" w:hRule="auto" w:wrap="auto" w:vAnchor="margin" w:hAnchor="text" w:yAlign="inline"/>
        <w:spacing w:after="0" w:line="360" w:lineRule="auto"/>
      </w:pPr>
    </w:p>
    <w:p>
      <w:pPr>
        <w:pStyle w:val="8"/>
        <w:framePr w:w="0" w:hRule="auto" w:wrap="auto" w:vAnchor="margin" w:hAnchor="text" w:yAlign="inline"/>
        <w:spacing w:after="0" w:line="360" w:lineRule="auto"/>
        <w:rPr>
          <w:b/>
          <w:bCs/>
        </w:rPr>
      </w:pPr>
      <w:r>
        <w:rPr>
          <w:b/>
          <w:bCs/>
          <w:rtl w:val="0"/>
        </w:rPr>
        <w:t>Code availability</w:t>
      </w:r>
    </w:p>
    <w:p>
      <w:pPr>
        <w:pStyle w:val="8"/>
        <w:framePr w:w="0" w:hRule="auto" w:wrap="auto" w:vAnchor="margin" w:hAnchor="text" w:yAlign="inline"/>
        <w:spacing w:after="0" w:line="360" w:lineRule="auto"/>
      </w:pPr>
      <w:r>
        <w:rPr>
          <w:rtl w:val="0"/>
        </w:rPr>
        <w:t xml:space="preserve">Code for bootstrapping IS present in A/B compartments and in satellite DNA, SINES and LINES is available at </w:t>
      </w:r>
      <w:r>
        <w:rPr>
          <w:rStyle w:val="12"/>
        </w:rPr>
        <w:fldChar w:fldCharType="begin"/>
      </w:r>
      <w:r>
        <w:rPr>
          <w:rStyle w:val="12"/>
        </w:rPr>
        <w:instrText xml:space="preserve"> HYPERLINK "https://github.com/HCAngelC"</w:instrText>
      </w:r>
      <w:r>
        <w:rPr>
          <w:rStyle w:val="12"/>
        </w:rPr>
        <w:fldChar w:fldCharType="separate"/>
      </w:r>
      <w:r>
        <w:rPr>
          <w:rStyle w:val="12"/>
          <w:rtl w:val="0"/>
          <w:lang w:val="en-US"/>
        </w:rPr>
        <w:t>https://github.com/HCAngelC</w:t>
      </w:r>
      <w:r>
        <w:fldChar w:fldCharType="end"/>
      </w:r>
      <w:r>
        <w:rPr>
          <w:rtl w:val="0"/>
        </w:rPr>
        <w:t>.</w:t>
      </w:r>
    </w:p>
    <w:p>
      <w:pPr>
        <w:pStyle w:val="8"/>
        <w:framePr w:w="0" w:hRule="auto" w:wrap="auto" w:vAnchor="margin" w:hAnchor="text" w:yAlign="inline"/>
        <w:spacing w:after="0" w:line="360" w:lineRule="auto"/>
      </w:pPr>
      <w:r>
        <w:rPr>
          <w:b/>
          <w:bCs/>
          <w:rtl w:val="0"/>
        </w:rPr>
        <w:t xml:space="preserve"> </w:t>
      </w:r>
    </w:p>
    <w:p>
      <w:pPr>
        <w:pStyle w:val="8"/>
        <w:framePr w:w="0" w:hRule="auto" w:wrap="auto" w:vAnchor="margin" w:hAnchor="text" w:yAlign="inline"/>
        <w:spacing w:after="0" w:line="360" w:lineRule="auto"/>
      </w:pPr>
      <w:r>
        <w:rPr>
          <w:b/>
          <w:bCs/>
          <w:rtl w:val="0"/>
        </w:rPr>
        <w:t>Data availability</w:t>
      </w:r>
    </w:p>
    <w:p>
      <w:pPr>
        <w:pStyle w:val="8"/>
        <w:framePr w:w="0" w:hRule="auto" w:wrap="auto" w:vAnchor="margin" w:hAnchor="text" w:yAlign="inline"/>
        <w:spacing w:after="0" w:line="360" w:lineRule="auto"/>
      </w:pPr>
      <w:r>
        <w:rPr>
          <w:rtl w:val="0"/>
        </w:rPr>
        <w:t>The raw sequencing data (B-HIVE outputs) generated during this study are available from Gene Expression Omnibus (</w:t>
      </w:r>
      <w:r>
        <w:rPr>
          <w:color w:val="FF2600"/>
          <w:rtl w:val="0"/>
        </w:rPr>
        <w:t>XXX</w:t>
      </w:r>
      <w:r>
        <w:rPr>
          <w:rtl w:val="0"/>
        </w:rPr>
        <w:t>). A/B compartments data (</w:t>
      </w:r>
      <w:r>
        <w:rPr>
          <w:rStyle w:val="12"/>
        </w:rPr>
        <w:fldChar w:fldCharType="begin"/>
      </w:r>
      <w:r>
        <w:rPr>
          <w:rStyle w:val="12"/>
        </w:rPr>
        <w:instrText xml:space="preserve"> HYPERLINK "https://www.ncbi.nlm.nih.gov/geo/query/acc.cgi?acc=GSE138767"</w:instrText>
      </w:r>
      <w:r>
        <w:rPr>
          <w:rStyle w:val="12"/>
        </w:rPr>
        <w:fldChar w:fldCharType="separate"/>
      </w:r>
      <w:r>
        <w:rPr>
          <w:rStyle w:val="12"/>
          <w:rtl w:val="0"/>
        </w:rPr>
        <w:t>GSE138767</w:t>
      </w:r>
      <w:r>
        <w:fldChar w:fldCharType="end"/>
      </w:r>
      <w:r>
        <w:rPr>
          <w:rtl w:val="0"/>
        </w:rPr>
        <w:t xml:space="preserve">) were downloaded from </w:t>
      </w:r>
      <w:r>
        <w:rPr>
          <w:rtl w:val="0"/>
          <w:lang w:val="de-DE"/>
        </w:rPr>
        <w:t>Gene Expression Omnibus</w:t>
      </w:r>
      <w:r>
        <w:rPr>
          <w:rtl w:val="0"/>
        </w:rPr>
        <w:t>. Human hg38 genome repeats were downloaded from RepeatMasker (</w:t>
      </w:r>
      <w:r>
        <w:rPr>
          <w:rStyle w:val="12"/>
        </w:rPr>
        <w:fldChar w:fldCharType="begin"/>
      </w:r>
      <w:r>
        <w:rPr>
          <w:rStyle w:val="12"/>
        </w:rPr>
        <w:instrText xml:space="preserve"> HYPERLINK "https://www.repeatmasker.org/species/hg.html"</w:instrText>
      </w:r>
      <w:r>
        <w:rPr>
          <w:rStyle w:val="12"/>
        </w:rPr>
        <w:fldChar w:fldCharType="separate"/>
      </w:r>
      <w:r>
        <w:rPr>
          <w:rStyle w:val="12"/>
          <w:rtl w:val="0"/>
          <w:lang w:val="en-US"/>
        </w:rPr>
        <w:t>https://www.repeatmasker.org/species/hg.html</w:t>
      </w:r>
      <w:r>
        <w:fldChar w:fldCharType="end"/>
      </w:r>
      <w:r>
        <w:rPr>
          <w:rtl w:val="0"/>
        </w:rPr>
        <w:t>).</w:t>
      </w:r>
      <w:r>
        <w:rPr>
          <w:rtl w:val="0"/>
        </w:rPr>
        <w:br w:type="page"/>
      </w:r>
    </w:p>
    <w:p>
      <w:pPr>
        <w:pStyle w:val="8"/>
        <w:framePr w:w="0" w:hRule="auto" w:wrap="auto" w:vAnchor="margin" w:hAnchor="text" w:yAlign="inline"/>
        <w:spacing w:after="0" w:line="360" w:lineRule="auto"/>
        <w:rPr>
          <w:b/>
          <w:bCs/>
        </w:rPr>
      </w:pPr>
      <w:r>
        <w:rPr>
          <w:b/>
          <w:bCs/>
          <w:rtl w:val="0"/>
          <w:lang w:val="fr-FR"/>
        </w:rPr>
        <w:t>References:</w:t>
      </w:r>
    </w:p>
    <w:p>
      <w:pPr>
        <w:pStyle w:val="8"/>
        <w:framePr w:w="0" w:hRule="auto" w:wrap="auto" w:vAnchor="margin" w:hAnchor="text" w:yAlign="inline"/>
        <w:spacing w:after="0" w:line="360" w:lineRule="auto"/>
        <w:rPr>
          <w:b/>
          <w:bCs/>
        </w:rPr>
      </w:pPr>
    </w:p>
    <w:p>
      <w:pPr>
        <w:pStyle w:val="8"/>
        <w:framePr w:w="0" w:hRule="auto" w:wrap="auto" w:vAnchor="margin" w:hAnchor="text" w:yAlign="inline"/>
        <w:widowControl w:val="0"/>
        <w:spacing w:after="0" w:line="360" w:lineRule="auto"/>
        <w:ind w:left="480" w:hanging="480"/>
      </w:pPr>
      <w:r>
        <w:rPr>
          <w:rtl w:val="0"/>
          <w:lang w:val="en-US"/>
        </w:rPr>
        <w:t xml:space="preserve">Anders, S., Pyl, P. T., &amp; Huber, W. (2015). HTSeq--a Python framework to work with high-throughput sequencing data. </w:t>
      </w:r>
      <w:r>
        <w:rPr>
          <w:i/>
          <w:iCs/>
          <w:rtl w:val="0"/>
          <w:lang w:val="en-US"/>
        </w:rPr>
        <w:t>Bioinformatics (Oxford, England)</w:t>
      </w:r>
      <w:r>
        <w:rPr>
          <w:rtl w:val="0"/>
        </w:rPr>
        <w:t xml:space="preserve">, </w:t>
      </w:r>
      <w:r>
        <w:rPr>
          <w:i/>
          <w:iCs/>
          <w:rtl w:val="0"/>
        </w:rPr>
        <w:t>31</w:t>
      </w:r>
      <w:r>
        <w:rPr>
          <w:rtl w:val="0"/>
        </w:rPr>
        <w:t xml:space="preserve">(2), 166–169. </w:t>
      </w:r>
      <w:r>
        <w:rPr>
          <w:rStyle w:val="12"/>
        </w:rPr>
        <w:fldChar w:fldCharType="begin"/>
      </w:r>
      <w:r>
        <w:rPr>
          <w:rStyle w:val="12"/>
        </w:rPr>
        <w:instrText xml:space="preserve"> HYPERLINK "https://doi.org/10.1093/bioinformatics/btu638"</w:instrText>
      </w:r>
      <w:r>
        <w:rPr>
          <w:rStyle w:val="12"/>
        </w:rPr>
        <w:fldChar w:fldCharType="separate"/>
      </w:r>
      <w:r>
        <w:rPr>
          <w:rStyle w:val="12"/>
          <w:rtl w:val="0"/>
          <w:lang w:val="en-US"/>
        </w:rPr>
        <w:t>https://doi.org/10.1093/bioinformatics/btu638</w:t>
      </w:r>
      <w:r>
        <w:fldChar w:fldCharType="end"/>
      </w:r>
    </w:p>
    <w:p>
      <w:pPr>
        <w:pStyle w:val="8"/>
        <w:framePr w:w="0" w:hRule="auto" w:wrap="auto" w:vAnchor="margin" w:hAnchor="text" w:yAlign="inline"/>
        <w:widowControl w:val="0"/>
        <w:spacing w:after="0" w:line="360" w:lineRule="auto"/>
        <w:ind w:left="480" w:hanging="480"/>
      </w:pPr>
      <w:r>
        <w:rPr>
          <w:rtl w:val="0"/>
          <w:lang w:val="da-DK"/>
        </w:rPr>
        <w:t xml:space="preserve">Andersson, R., Gebhard, C., Miguel-Escalada, I., Hoof, I., Bornholdt, J., Boyd, M., </w:t>
      </w:r>
      <w:r>
        <w:rPr>
          <w:rtl w:val="0"/>
        </w:rPr>
        <w:t xml:space="preserve">… </w:t>
      </w:r>
      <w:r>
        <w:rPr>
          <w:rtl w:val="0"/>
          <w:lang w:val="en-US"/>
        </w:rPr>
        <w:t xml:space="preserve">Sandelin, A. (2014). An atlas of active enhancers across human cell types and tissues. </w:t>
      </w:r>
      <w:r>
        <w:rPr>
          <w:i/>
          <w:iCs/>
          <w:rtl w:val="0"/>
          <w:lang w:val="fr-FR"/>
        </w:rPr>
        <w:t>Nature</w:t>
      </w:r>
      <w:r>
        <w:rPr>
          <w:rtl w:val="0"/>
          <w:lang w:val="fr-FR"/>
        </w:rPr>
        <w:t xml:space="preserve">, </w:t>
      </w:r>
      <w:r>
        <w:rPr>
          <w:i/>
          <w:iCs/>
          <w:rtl w:val="0"/>
          <w:lang w:val="fr-FR"/>
        </w:rPr>
        <w:t>507</w:t>
      </w:r>
      <w:r>
        <w:rPr>
          <w:rtl w:val="0"/>
          <w:lang w:val="fr-FR"/>
        </w:rPr>
        <w:t xml:space="preserve">(7493), 455–461. </w:t>
      </w:r>
      <w:r>
        <w:rPr>
          <w:rStyle w:val="12"/>
        </w:rPr>
        <w:fldChar w:fldCharType="begin"/>
      </w:r>
      <w:r>
        <w:rPr>
          <w:rStyle w:val="12"/>
        </w:rPr>
        <w:instrText xml:space="preserve"> HYPERLINK "https://doi.org/10.1038/nature12787"</w:instrText>
      </w:r>
      <w:r>
        <w:rPr>
          <w:rStyle w:val="12"/>
        </w:rPr>
        <w:fldChar w:fldCharType="separate"/>
      </w:r>
      <w:r>
        <w:rPr>
          <w:rStyle w:val="12"/>
          <w:rtl w:val="0"/>
        </w:rPr>
        <w:t>https://doi.org/10.1038/nature12787</w:t>
      </w:r>
      <w:r>
        <w:fldChar w:fldCharType="end"/>
      </w:r>
    </w:p>
    <w:p>
      <w:pPr>
        <w:pStyle w:val="8"/>
        <w:framePr w:w="0" w:hRule="auto" w:wrap="auto" w:vAnchor="margin" w:hAnchor="text" w:yAlign="inline"/>
        <w:widowControl w:val="0"/>
        <w:spacing w:after="0" w:line="360" w:lineRule="auto"/>
        <w:ind w:left="480" w:hanging="480"/>
      </w:pPr>
      <w:r>
        <w:rPr>
          <w:rtl w:val="0"/>
          <w:lang w:val="fr-FR"/>
        </w:rPr>
        <w:t xml:space="preserve">Burren, O. S., Rubio García, A., Javierre, B.-M., Rainbow, D. B., Cairns, J., Cooper, N. J., … </w:t>
      </w:r>
      <w:r>
        <w:rPr>
          <w:rtl w:val="0"/>
          <w:lang w:val="en-US"/>
        </w:rPr>
        <w:t xml:space="preserve">Wallace, C. (2017). Chromosome contacts in activated T cells identify autoimmune disease candidate genes. </w:t>
      </w:r>
      <w:r>
        <w:rPr>
          <w:i/>
          <w:iCs/>
          <w:rtl w:val="0"/>
          <w:lang w:val="it-IT"/>
        </w:rPr>
        <w:t>Genome Biology</w:t>
      </w:r>
      <w:r>
        <w:rPr>
          <w:rtl w:val="0"/>
        </w:rPr>
        <w:t xml:space="preserve">, </w:t>
      </w:r>
      <w:r>
        <w:rPr>
          <w:i/>
          <w:iCs/>
          <w:rtl w:val="0"/>
        </w:rPr>
        <w:t>18</w:t>
      </w:r>
      <w:r>
        <w:rPr>
          <w:rtl w:val="0"/>
        </w:rPr>
        <w:t xml:space="preserve">(1), 165. </w:t>
      </w:r>
      <w:r>
        <w:rPr>
          <w:rStyle w:val="12"/>
        </w:rPr>
        <w:fldChar w:fldCharType="begin"/>
      </w:r>
      <w:r>
        <w:rPr>
          <w:rStyle w:val="12"/>
        </w:rPr>
        <w:instrText xml:space="preserve"> HYPERLINK "https://doi.org/10.1186/s13059-017-1285-0"</w:instrText>
      </w:r>
      <w:r>
        <w:rPr>
          <w:rStyle w:val="12"/>
        </w:rPr>
        <w:fldChar w:fldCharType="separate"/>
      </w:r>
      <w:r>
        <w:rPr>
          <w:rStyle w:val="12"/>
          <w:rtl w:val="0"/>
        </w:rPr>
        <w:t>https://doi.org/10.1186/s13059-017-1285-0</w:t>
      </w:r>
      <w:r>
        <w:fldChar w:fldCharType="end"/>
      </w:r>
    </w:p>
    <w:p>
      <w:pPr>
        <w:pStyle w:val="8"/>
        <w:framePr w:w="0" w:hRule="auto" w:wrap="auto" w:vAnchor="margin" w:hAnchor="text" w:yAlign="inline"/>
        <w:widowControl w:val="0"/>
        <w:spacing w:after="0" w:line="360" w:lineRule="auto"/>
        <w:ind w:left="480" w:hanging="480"/>
      </w:pPr>
      <w:r>
        <w:rPr>
          <w:rtl w:val="0"/>
          <w:lang w:val="de-DE"/>
        </w:rPr>
        <w:t>Cairns, J., Freire-Pritchett, P., Wingett, S. W., V</w:t>
      </w:r>
      <w:r>
        <w:rPr>
          <w:rtl w:val="0"/>
        </w:rPr>
        <w:t>á</w:t>
      </w:r>
      <w:r>
        <w:rPr>
          <w:rtl w:val="0"/>
          <w:lang w:val="it-IT"/>
        </w:rPr>
        <w:t xml:space="preserve">rnai, C., Dimond, A., Plagnol, V., </w:t>
      </w:r>
      <w:r>
        <w:rPr>
          <w:rtl w:val="0"/>
        </w:rPr>
        <w:t xml:space="preserve">… </w:t>
      </w:r>
      <w:r>
        <w:rPr>
          <w:rtl w:val="0"/>
          <w:lang w:val="en-US"/>
        </w:rPr>
        <w:t xml:space="preserve">Ryba, T. (2016). CHiCAGO: robust detection of DNA looping interactions in Capture Hi-C data. </w:t>
      </w:r>
      <w:r>
        <w:rPr>
          <w:i/>
          <w:iCs/>
          <w:rtl w:val="0"/>
          <w:lang w:val="it-IT"/>
        </w:rPr>
        <w:t>Genome Biology</w:t>
      </w:r>
      <w:r>
        <w:rPr>
          <w:rtl w:val="0"/>
        </w:rPr>
        <w:t xml:space="preserve">, </w:t>
      </w:r>
      <w:r>
        <w:rPr>
          <w:i/>
          <w:iCs/>
          <w:rtl w:val="0"/>
        </w:rPr>
        <w:t>17</w:t>
      </w:r>
      <w:r>
        <w:rPr>
          <w:rtl w:val="0"/>
        </w:rPr>
        <w:t xml:space="preserve">(1), 127. </w:t>
      </w:r>
      <w:r>
        <w:rPr>
          <w:rStyle w:val="12"/>
        </w:rPr>
        <w:fldChar w:fldCharType="begin"/>
      </w:r>
      <w:r>
        <w:rPr>
          <w:rStyle w:val="12"/>
        </w:rPr>
        <w:instrText xml:space="preserve"> HYPERLINK "https://doi.org/10.1186/s13059-016-0992-2"</w:instrText>
      </w:r>
      <w:r>
        <w:rPr>
          <w:rStyle w:val="12"/>
        </w:rPr>
        <w:fldChar w:fldCharType="separate"/>
      </w:r>
      <w:r>
        <w:rPr>
          <w:rStyle w:val="12"/>
          <w:rtl w:val="0"/>
        </w:rPr>
        <w:t>https://doi.org/10.1186/s13059-016-0992-2</w:t>
      </w:r>
      <w:r>
        <w:fldChar w:fldCharType="end"/>
      </w:r>
    </w:p>
    <w:p>
      <w:pPr>
        <w:pStyle w:val="8"/>
        <w:framePr w:w="0" w:hRule="auto" w:wrap="auto" w:vAnchor="margin" w:hAnchor="text" w:yAlign="inline"/>
        <w:widowControl w:val="0"/>
        <w:suppressAutoHyphens w:val="0"/>
        <w:spacing w:after="0" w:line="360" w:lineRule="auto"/>
        <w:ind w:left="440" w:hanging="440"/>
        <w:rPr>
          <w:rFonts w:ascii="Arial" w:hAnsi="Arial" w:eastAsia="Arial" w:cs="Arial"/>
        </w:rPr>
      </w:pPr>
      <w:r>
        <w:rPr>
          <w:rFonts w:ascii="Arial" w:hAnsi="Arial"/>
          <w:rtl w:val="0"/>
          <w:lang w:val="de-DE"/>
        </w:rPr>
        <w:t xml:space="preserve">Chen, H.-C., Martinez, J.P., Zorita, E., Meyerhans, A., </w:t>
      </w:r>
      <w:r>
        <w:rPr>
          <w:rFonts w:ascii="Arial" w:hAnsi="Arial"/>
          <w:rtl w:val="0"/>
        </w:rPr>
        <w:t xml:space="preserve">&amp; </w:t>
      </w:r>
      <w:r>
        <w:rPr>
          <w:rFonts w:ascii="Arial" w:hAnsi="Arial"/>
          <w:rtl w:val="0"/>
          <w:lang w:val="en-US"/>
        </w:rPr>
        <w:t xml:space="preserve">Filion, G.J. (2017). Position effects influence HIV latency reversal. </w:t>
      </w:r>
      <w:r>
        <w:rPr>
          <w:rFonts w:ascii="Arial" w:hAnsi="Arial"/>
          <w:i/>
          <w:iCs/>
          <w:rtl w:val="0"/>
          <w:lang w:val="en-US"/>
        </w:rPr>
        <w:t>Nature Structural &amp; Molecular Biology</w:t>
      </w:r>
      <w:r>
        <w:rPr>
          <w:rFonts w:ascii="Arial" w:hAnsi="Arial"/>
          <w:rtl w:val="0"/>
        </w:rPr>
        <w:t>, 24, 47</w:t>
      </w:r>
      <w:r>
        <w:rPr>
          <w:rFonts w:hint="default" w:ascii="Arial" w:hAnsi="Arial"/>
          <w:rtl w:val="0"/>
        </w:rPr>
        <w:t>–</w:t>
      </w:r>
      <w:r>
        <w:rPr>
          <w:rFonts w:ascii="Arial" w:hAnsi="Arial"/>
          <w:rtl w:val="0"/>
        </w:rPr>
        <w:t xml:space="preserve">54. </w:t>
      </w:r>
      <w:r>
        <w:rPr>
          <w:rStyle w:val="12"/>
          <w:rFonts w:ascii="Arial" w:hAnsi="Arial" w:eastAsia="Arial" w:cs="Arial"/>
        </w:rPr>
        <w:fldChar w:fldCharType="begin"/>
      </w:r>
      <w:r>
        <w:rPr>
          <w:rStyle w:val="12"/>
          <w:rFonts w:ascii="Arial" w:hAnsi="Arial" w:eastAsia="Arial" w:cs="Arial"/>
        </w:rPr>
        <w:instrText xml:space="preserve"> HYPERLINK "https://doi.org/10.1038/nsmb.3328"</w:instrText>
      </w:r>
      <w:r>
        <w:rPr>
          <w:rStyle w:val="12"/>
          <w:rFonts w:ascii="Arial" w:hAnsi="Arial" w:eastAsia="Arial" w:cs="Arial"/>
        </w:rPr>
        <w:fldChar w:fldCharType="separate"/>
      </w:r>
      <w:r>
        <w:rPr>
          <w:rStyle w:val="12"/>
          <w:rFonts w:ascii="Arial" w:hAnsi="Arial"/>
          <w:rtl w:val="0"/>
        </w:rPr>
        <w:t>https://doi.org/10.1038/nsmb.3328</w:t>
      </w:r>
      <w:r>
        <w:rPr>
          <w:rFonts w:ascii="Arial" w:hAnsi="Arial" w:eastAsia="Arial" w:cs="Arial"/>
        </w:rPr>
        <w:fldChar w:fldCharType="end"/>
      </w:r>
    </w:p>
    <w:p>
      <w:pPr>
        <w:pStyle w:val="8"/>
        <w:framePr w:w="0" w:hRule="auto" w:wrap="auto" w:vAnchor="margin" w:hAnchor="text" w:yAlign="inline"/>
        <w:widowControl w:val="0"/>
        <w:suppressAutoHyphens w:val="0"/>
        <w:spacing w:after="0" w:line="360" w:lineRule="auto"/>
        <w:ind w:left="440" w:hanging="440"/>
        <w:rPr>
          <w:rFonts w:ascii="Arial" w:hAnsi="Arial" w:eastAsia="Arial" w:cs="Arial"/>
        </w:rPr>
      </w:pPr>
      <w:r>
        <w:rPr>
          <w:rFonts w:ascii="Arial" w:hAnsi="Arial"/>
          <w:rtl w:val="0"/>
          <w:lang w:val="de-DE"/>
        </w:rPr>
        <w:t>Chen, H., Zorita, E.,</w:t>
      </w:r>
      <w:r>
        <w:rPr>
          <w:rFonts w:ascii="Arial" w:hAnsi="Arial"/>
          <w:rtl w:val="0"/>
        </w:rPr>
        <w:t xml:space="preserve"> &amp; </w:t>
      </w:r>
      <w:r>
        <w:rPr>
          <w:rFonts w:ascii="Arial" w:hAnsi="Arial"/>
          <w:rtl w:val="0"/>
          <w:lang w:val="en-US"/>
        </w:rPr>
        <w:t>Filion, G.J. (2018). Using Barcoded HIV Ensembles (B</w:t>
      </w:r>
      <w:r>
        <w:rPr>
          <w:rFonts w:hint="default" w:ascii="Arial Unicode MS" w:hAnsi="Arial Unicode MS" w:eastAsia="Arial Unicode MS" w:cs="Arial Unicode MS"/>
          <w:b w:val="0"/>
          <w:bCs w:val="0"/>
          <w:i w:val="0"/>
          <w:iCs w:val="0"/>
          <w:rtl w:val="0"/>
        </w:rPr>
        <w:t>‐</w:t>
      </w:r>
      <w:r>
        <w:rPr>
          <w:rFonts w:ascii="Arial" w:hAnsi="Arial"/>
          <w:rtl w:val="0"/>
          <w:lang w:val="en-US"/>
        </w:rPr>
        <w:t xml:space="preserve">HIVE) for Single Provirus Transcriptomics. </w:t>
      </w:r>
      <w:r>
        <w:rPr>
          <w:rFonts w:ascii="Arial" w:hAnsi="Arial"/>
          <w:i/>
          <w:iCs/>
          <w:rtl w:val="0"/>
          <w:lang w:val="en-US"/>
        </w:rPr>
        <w:t>Current Protocols in Molecular Biology</w:t>
      </w:r>
      <w:r>
        <w:rPr>
          <w:rFonts w:ascii="Arial" w:hAnsi="Arial"/>
          <w:rtl w:val="0"/>
        </w:rPr>
        <w:t xml:space="preserve"> </w:t>
      </w:r>
      <w:r>
        <w:rPr>
          <w:rStyle w:val="12"/>
          <w:rFonts w:ascii="Arial" w:hAnsi="Arial" w:eastAsia="Arial" w:cs="Arial"/>
        </w:rPr>
        <w:fldChar w:fldCharType="begin"/>
      </w:r>
      <w:r>
        <w:rPr>
          <w:rStyle w:val="12"/>
          <w:rFonts w:ascii="Arial" w:hAnsi="Arial" w:eastAsia="Arial" w:cs="Arial"/>
        </w:rPr>
        <w:instrText xml:space="preserve"> HYPERLINK "https://doi.org/10.1002/cpmb.56"</w:instrText>
      </w:r>
      <w:r>
        <w:rPr>
          <w:rStyle w:val="12"/>
          <w:rFonts w:ascii="Arial" w:hAnsi="Arial" w:eastAsia="Arial" w:cs="Arial"/>
        </w:rPr>
        <w:fldChar w:fldCharType="separate"/>
      </w:r>
      <w:r>
        <w:rPr>
          <w:rStyle w:val="12"/>
          <w:rFonts w:ascii="Arial" w:hAnsi="Arial"/>
          <w:rtl w:val="0"/>
        </w:rPr>
        <w:t>https://doi.org/10.1002/cpmb.56</w:t>
      </w:r>
      <w:r>
        <w:rPr>
          <w:rFonts w:ascii="Arial" w:hAnsi="Arial" w:eastAsia="Arial" w:cs="Arial"/>
        </w:rPr>
        <w:fldChar w:fldCharType="end"/>
      </w:r>
    </w:p>
    <w:p>
      <w:pPr>
        <w:pStyle w:val="8"/>
        <w:framePr w:w="0" w:hRule="auto" w:wrap="auto" w:vAnchor="margin" w:hAnchor="text" w:yAlign="inline"/>
        <w:widowControl w:val="0"/>
        <w:spacing w:after="0" w:line="360" w:lineRule="auto"/>
        <w:ind w:left="480" w:hanging="480"/>
      </w:pPr>
      <w:r>
        <w:rPr>
          <w:rtl w:val="0"/>
        </w:rPr>
        <w:t>Derrien, T., Estell</w:t>
      </w:r>
      <w:r>
        <w:rPr>
          <w:rtl w:val="0"/>
          <w:lang w:val="fr-FR"/>
        </w:rPr>
        <w:t>é</w:t>
      </w:r>
      <w:r>
        <w:rPr>
          <w:rtl w:val="0"/>
          <w:lang w:val="en-US"/>
        </w:rPr>
        <w:t>, J., Marco Sola, S., Knowles, D. G., Raineri, E., Guig</w:t>
      </w:r>
      <w:r>
        <w:rPr>
          <w:rtl w:val="0"/>
        </w:rPr>
        <w:t>ó</w:t>
      </w:r>
      <w:r>
        <w:rPr>
          <w:rtl w:val="0"/>
          <w:lang w:val="en-US"/>
        </w:rPr>
        <w:t xml:space="preserve">, R., &amp; Ribeca, P. (2012). Fast computation and applications of genome mappability. </w:t>
      </w:r>
      <w:r>
        <w:rPr>
          <w:i/>
          <w:iCs/>
          <w:rtl w:val="0"/>
          <w:lang w:val="it-IT"/>
        </w:rPr>
        <w:t>PloS One</w:t>
      </w:r>
      <w:r>
        <w:rPr>
          <w:rtl w:val="0"/>
        </w:rPr>
        <w:t xml:space="preserve">, </w:t>
      </w:r>
      <w:r>
        <w:rPr>
          <w:i/>
          <w:iCs/>
          <w:rtl w:val="0"/>
        </w:rPr>
        <w:t>7</w:t>
      </w:r>
      <w:r>
        <w:rPr>
          <w:rtl w:val="0"/>
        </w:rPr>
        <w:t xml:space="preserve">(1), e30377. </w:t>
      </w:r>
      <w:r>
        <w:rPr>
          <w:rStyle w:val="12"/>
        </w:rPr>
        <w:fldChar w:fldCharType="begin"/>
      </w:r>
      <w:r>
        <w:rPr>
          <w:rStyle w:val="12"/>
        </w:rPr>
        <w:instrText xml:space="preserve"> HYPERLINK "https://doi.org/10.1371/journal.pone.0030377"</w:instrText>
      </w:r>
      <w:r>
        <w:rPr>
          <w:rStyle w:val="12"/>
        </w:rPr>
        <w:fldChar w:fldCharType="separate"/>
      </w:r>
      <w:r>
        <w:rPr>
          <w:rStyle w:val="12"/>
          <w:rtl w:val="0"/>
        </w:rPr>
        <w:t>https://doi.org/10.1371/journal.pone.0030377</w:t>
      </w:r>
      <w:r>
        <w:fldChar w:fldCharType="end"/>
      </w:r>
    </w:p>
    <w:p>
      <w:pPr>
        <w:pStyle w:val="8"/>
        <w:framePr w:w="0" w:hRule="auto" w:wrap="auto" w:vAnchor="margin" w:hAnchor="text" w:yAlign="inline"/>
        <w:widowControl w:val="0"/>
        <w:spacing w:after="0" w:line="360" w:lineRule="auto"/>
        <w:ind w:left="480" w:hanging="480"/>
      </w:pPr>
      <w:r>
        <w:rPr>
          <w:rtl w:val="0"/>
          <w:lang w:val="de-DE"/>
        </w:rPr>
        <w:t xml:space="preserve">Dobin, A., Davis, C. A., Schlesinger, F., Drenkow, J., Zaleski, C., Jha, S., </w:t>
      </w:r>
      <w:r>
        <w:rPr>
          <w:rtl w:val="0"/>
        </w:rPr>
        <w:t xml:space="preserve">… Gingeras, T. R. (2013). STAR: Ultrafast universal RNA-seq aligner. </w:t>
      </w:r>
      <w:r>
        <w:rPr>
          <w:i/>
          <w:iCs/>
          <w:rtl w:val="0"/>
          <w:lang w:val="it-IT"/>
        </w:rPr>
        <w:t>Bioinformatics</w:t>
      </w:r>
      <w:r>
        <w:rPr>
          <w:rtl w:val="0"/>
        </w:rPr>
        <w:t xml:space="preserve">, </w:t>
      </w:r>
      <w:r>
        <w:rPr>
          <w:i/>
          <w:iCs/>
          <w:rtl w:val="0"/>
        </w:rPr>
        <w:t>29</w:t>
      </w:r>
      <w:r>
        <w:rPr>
          <w:rtl w:val="0"/>
        </w:rPr>
        <w:t xml:space="preserve">(1), 15–21. </w:t>
      </w:r>
      <w:r>
        <w:rPr>
          <w:rStyle w:val="12"/>
        </w:rPr>
        <w:fldChar w:fldCharType="begin"/>
      </w:r>
      <w:r>
        <w:rPr>
          <w:rStyle w:val="12"/>
        </w:rPr>
        <w:instrText xml:space="preserve"> HYPERLINK "https://doi.org/10.1093/bioinformatics/bts635"</w:instrText>
      </w:r>
      <w:r>
        <w:rPr>
          <w:rStyle w:val="12"/>
        </w:rPr>
        <w:fldChar w:fldCharType="separate"/>
      </w:r>
      <w:r>
        <w:rPr>
          <w:rStyle w:val="12"/>
          <w:rtl w:val="0"/>
          <w:lang w:val="en-US"/>
        </w:rPr>
        <w:t>https://doi.org/10.1093/bioinformatics/bts635</w:t>
      </w:r>
      <w:r>
        <w:fldChar w:fldCharType="end"/>
      </w:r>
    </w:p>
    <w:p>
      <w:pPr>
        <w:pStyle w:val="8"/>
        <w:framePr w:w="0" w:hRule="auto" w:wrap="auto" w:vAnchor="margin" w:hAnchor="text" w:yAlign="inline"/>
        <w:widowControl w:val="0"/>
        <w:spacing w:after="0" w:line="360" w:lineRule="auto"/>
        <w:ind w:left="480" w:hanging="480"/>
      </w:pPr>
      <w:r>
        <w:rPr>
          <w:rtl w:val="0"/>
          <w:lang w:val="en-US"/>
        </w:rPr>
        <w:t xml:space="preserve">Durand, N. C., Shamim, M. S., Machol, I., Rao, S. S. P., Huntley, M. H., Lander, E. S., &amp; Aiden, E. L. (2016). Juicer Provides a One-Click System for Analyzing Loop-Resolution Hi-C Experiments. </w:t>
      </w:r>
      <w:r>
        <w:rPr>
          <w:i/>
          <w:iCs/>
          <w:rtl w:val="0"/>
          <w:lang w:val="en-US"/>
        </w:rPr>
        <w:t>Cell Systems</w:t>
      </w:r>
      <w:r>
        <w:rPr>
          <w:rtl w:val="0"/>
        </w:rPr>
        <w:t xml:space="preserve">, </w:t>
      </w:r>
      <w:r>
        <w:rPr>
          <w:i/>
          <w:iCs/>
          <w:rtl w:val="0"/>
        </w:rPr>
        <w:t>3</w:t>
      </w:r>
      <w:r>
        <w:rPr>
          <w:rtl w:val="0"/>
        </w:rPr>
        <w:t xml:space="preserve">(1), 95–98. </w:t>
      </w:r>
      <w:r>
        <w:rPr>
          <w:rStyle w:val="12"/>
        </w:rPr>
        <w:fldChar w:fldCharType="begin"/>
      </w:r>
      <w:r>
        <w:rPr>
          <w:rStyle w:val="12"/>
        </w:rPr>
        <w:instrText xml:space="preserve"> HYPERLINK "https://doi.org/10.1016/j.cels.2016.07.002"</w:instrText>
      </w:r>
      <w:r>
        <w:rPr>
          <w:rStyle w:val="12"/>
        </w:rPr>
        <w:fldChar w:fldCharType="separate"/>
      </w:r>
      <w:r>
        <w:rPr>
          <w:rStyle w:val="12"/>
          <w:rtl w:val="0"/>
        </w:rPr>
        <w:t>https://doi.org/10.1016/j.cels.2016.07.002</w:t>
      </w:r>
      <w:r>
        <w:fldChar w:fldCharType="end"/>
      </w:r>
    </w:p>
    <w:p>
      <w:pPr>
        <w:pStyle w:val="8"/>
        <w:framePr w:w="0" w:hRule="auto" w:wrap="auto" w:vAnchor="margin" w:hAnchor="text" w:yAlign="inline"/>
        <w:widowControl w:val="0"/>
        <w:spacing w:after="0" w:line="360" w:lineRule="auto"/>
        <w:ind w:left="480" w:hanging="480"/>
      </w:pPr>
      <w:r>
        <w:rPr>
          <w:rtl w:val="0"/>
          <w:lang w:val="en-US"/>
        </w:rPr>
        <w:t xml:space="preserve">Einkauf, K. B., Osborn, M. R., Gao, C., Sun, W., Sun, X., Lian, X., Parsons, E. M., Gladkov, G. T., Seiger, K. W., Blackmer, J. E., Jiang, C., Yukl, S. A., Rosenberg, E. S., Yu, X. G., &amp; Lichterfeld, M. (2022). Parallel analysis of transcription, integration, and sequence of single HIV-1 proviruses. </w:t>
      </w:r>
      <w:r>
        <w:rPr>
          <w:i/>
          <w:iCs/>
          <w:rtl w:val="0"/>
          <w:lang w:val="it-IT"/>
        </w:rPr>
        <w:t>Cell</w:t>
      </w:r>
      <w:r>
        <w:rPr>
          <w:rtl w:val="0"/>
        </w:rPr>
        <w:t xml:space="preserve">, </w:t>
      </w:r>
      <w:r>
        <w:rPr>
          <w:i/>
          <w:iCs/>
          <w:rtl w:val="0"/>
        </w:rPr>
        <w:t>185</w:t>
      </w:r>
      <w:r>
        <w:rPr>
          <w:rtl w:val="0"/>
        </w:rPr>
        <w:t xml:space="preserve">(2), 266–282.e15. </w:t>
      </w:r>
      <w:r>
        <w:rPr>
          <w:rStyle w:val="12"/>
        </w:rPr>
        <w:fldChar w:fldCharType="begin"/>
      </w:r>
      <w:r>
        <w:rPr>
          <w:rStyle w:val="12"/>
        </w:rPr>
        <w:instrText xml:space="preserve"> HYPERLINK "https://doi.org/10.1016/j.cell.2021.12.011"</w:instrText>
      </w:r>
      <w:r>
        <w:rPr>
          <w:rStyle w:val="12"/>
        </w:rPr>
        <w:fldChar w:fldCharType="separate"/>
      </w:r>
      <w:r>
        <w:rPr>
          <w:rStyle w:val="12"/>
          <w:rtl w:val="0"/>
        </w:rPr>
        <w:t>https://doi.org/10.1016/j.cell.2021.12.011</w:t>
      </w:r>
      <w:r>
        <w:fldChar w:fldCharType="end"/>
      </w:r>
    </w:p>
    <w:p>
      <w:pPr>
        <w:pStyle w:val="8"/>
        <w:framePr w:w="0" w:hRule="auto" w:wrap="auto" w:vAnchor="margin" w:hAnchor="text" w:yAlign="inline"/>
        <w:widowControl w:val="0"/>
        <w:spacing w:after="0" w:line="360" w:lineRule="auto"/>
        <w:ind w:left="480" w:hanging="480"/>
      </w:pPr>
      <w:r>
        <w:rPr>
          <w:rtl w:val="0"/>
          <w:lang w:val="de-DE"/>
        </w:rPr>
        <w:t xml:space="preserve">Javierre, B. M., Burren, O. S., Wilder, S. P., Kreuzhuber, R., Hill, S. M., Sewitz, S., </w:t>
      </w:r>
      <w:r>
        <w:rPr>
          <w:rtl w:val="0"/>
        </w:rPr>
        <w:t xml:space="preserve">… </w:t>
      </w:r>
      <w:r>
        <w:rPr>
          <w:rtl w:val="0"/>
          <w:lang w:val="en-US"/>
        </w:rPr>
        <w:t xml:space="preserve">Fraser, P. (2016). Lineage-Specific Genome Architecture Links Enhancers and Non-coding Disease Variants to Target Gene Promoters. </w:t>
      </w:r>
      <w:r>
        <w:rPr>
          <w:i/>
          <w:iCs/>
          <w:rtl w:val="0"/>
          <w:lang w:val="it-IT"/>
        </w:rPr>
        <w:t>Cell</w:t>
      </w:r>
      <w:r>
        <w:rPr>
          <w:rtl w:val="0"/>
        </w:rPr>
        <w:t xml:space="preserve">, </w:t>
      </w:r>
      <w:r>
        <w:rPr>
          <w:i/>
          <w:iCs/>
          <w:rtl w:val="0"/>
        </w:rPr>
        <w:t>167</w:t>
      </w:r>
      <w:r>
        <w:rPr>
          <w:rtl w:val="0"/>
        </w:rPr>
        <w:t xml:space="preserve">(5), 1369–1384.e19. </w:t>
      </w:r>
      <w:r>
        <w:rPr>
          <w:rStyle w:val="12"/>
        </w:rPr>
        <w:fldChar w:fldCharType="begin"/>
      </w:r>
      <w:r>
        <w:rPr>
          <w:rStyle w:val="12"/>
        </w:rPr>
        <w:instrText xml:space="preserve"> HYPERLINK "https://doi.org/10.1016/j.cell.2016.09.037"</w:instrText>
      </w:r>
      <w:r>
        <w:rPr>
          <w:rStyle w:val="12"/>
        </w:rPr>
        <w:fldChar w:fldCharType="separate"/>
      </w:r>
      <w:r>
        <w:rPr>
          <w:rStyle w:val="12"/>
          <w:rtl w:val="0"/>
        </w:rPr>
        <w:t>https://doi.org/10.1016/j.cell.2016.09.037</w:t>
      </w:r>
      <w:r>
        <w:fldChar w:fldCharType="end"/>
      </w:r>
    </w:p>
    <w:p>
      <w:pPr>
        <w:pStyle w:val="8"/>
        <w:framePr w:w="0" w:hRule="auto" w:wrap="auto" w:vAnchor="margin" w:hAnchor="text" w:yAlign="inline"/>
        <w:widowControl w:val="0"/>
        <w:spacing w:after="0" w:line="360" w:lineRule="auto"/>
        <w:ind w:left="480" w:hanging="480"/>
      </w:pPr>
      <w:r>
        <w:rPr>
          <w:rtl w:val="0"/>
          <w:lang w:val="de-DE"/>
        </w:rPr>
        <w:t xml:space="preserve">Jiang, C., Lian, X., Gao, C., Sun, X., Einkauf, K. B., Chevalier, J. M., Chen, S. M. Y., Hua, S., Rhee, B., Chang, K., Blackmer, J. E., Osborn, M., Peluso, M. J., Hoh, R., Somsouk, M., Milush, J., Bertagnolli, L. N., Sweet, S. E., Varriale, J. A., </w:t>
      </w:r>
      <w:r>
        <w:rPr>
          <w:rtl w:val="0"/>
        </w:rPr>
        <w:t xml:space="preserve">… </w:t>
      </w:r>
      <w:r>
        <w:rPr>
          <w:rtl w:val="0"/>
          <w:lang w:val="en-US"/>
        </w:rPr>
        <w:t xml:space="preserve">Yu, X. G. (2020). Distinct viral reservoirs in individuals with spontaneous control of HIV-1. </w:t>
      </w:r>
      <w:r>
        <w:rPr>
          <w:i/>
          <w:iCs/>
          <w:rtl w:val="0"/>
          <w:lang w:val="fr-FR"/>
        </w:rPr>
        <w:t>Nature</w:t>
      </w:r>
      <w:r>
        <w:rPr>
          <w:rtl w:val="0"/>
        </w:rPr>
        <w:t xml:space="preserve">, </w:t>
      </w:r>
      <w:r>
        <w:rPr>
          <w:i/>
          <w:iCs/>
          <w:rtl w:val="0"/>
          <w:lang w:val="ru-RU"/>
        </w:rPr>
        <w:t>585</w:t>
      </w:r>
      <w:r>
        <w:rPr>
          <w:rtl w:val="0"/>
        </w:rPr>
        <w:t xml:space="preserve">(7824), 261–267. </w:t>
      </w:r>
      <w:r>
        <w:rPr>
          <w:rStyle w:val="12"/>
        </w:rPr>
        <w:fldChar w:fldCharType="begin"/>
      </w:r>
      <w:r>
        <w:rPr>
          <w:rStyle w:val="12"/>
        </w:rPr>
        <w:instrText xml:space="preserve"> HYPERLINK "https://doi.org/10.1038/s41586-020-2651-8"</w:instrText>
      </w:r>
      <w:r>
        <w:rPr>
          <w:rStyle w:val="12"/>
        </w:rPr>
        <w:fldChar w:fldCharType="separate"/>
      </w:r>
      <w:r>
        <w:rPr>
          <w:rStyle w:val="12"/>
          <w:rtl w:val="0"/>
        </w:rPr>
        <w:t>https://doi.org/10.1038/s41586-020-2651-8</w:t>
      </w:r>
      <w:r>
        <w:fldChar w:fldCharType="end"/>
      </w:r>
    </w:p>
    <w:p>
      <w:pPr>
        <w:pStyle w:val="8"/>
        <w:framePr w:w="0" w:hRule="auto" w:wrap="auto" w:vAnchor="margin" w:hAnchor="text" w:yAlign="inline"/>
        <w:widowControl w:val="0"/>
        <w:spacing w:after="0" w:line="360" w:lineRule="auto"/>
        <w:ind w:left="480" w:hanging="480"/>
      </w:pPr>
      <w:r>
        <w:rPr>
          <w:rtl w:val="0"/>
          <w:lang w:val="en-US"/>
        </w:rPr>
        <w:t xml:space="preserve">Khan, A., &amp; Zhang, X. (2016). dbSUPER: a database of super-enhancers in mouse and human genome. </w:t>
      </w:r>
      <w:r>
        <w:rPr>
          <w:i/>
          <w:iCs/>
          <w:rtl w:val="0"/>
          <w:lang w:val="de-DE"/>
        </w:rPr>
        <w:t>Nucleic Acids Research</w:t>
      </w:r>
      <w:r>
        <w:rPr>
          <w:rtl w:val="0"/>
        </w:rPr>
        <w:t xml:space="preserve">, </w:t>
      </w:r>
      <w:r>
        <w:rPr>
          <w:i/>
          <w:iCs/>
          <w:rtl w:val="0"/>
        </w:rPr>
        <w:t>44</w:t>
      </w:r>
      <w:r>
        <w:rPr>
          <w:rtl w:val="0"/>
        </w:rPr>
        <w:t xml:space="preserve">(D1), D164-71. </w:t>
      </w:r>
      <w:r>
        <w:rPr>
          <w:rStyle w:val="12"/>
        </w:rPr>
        <w:fldChar w:fldCharType="begin"/>
      </w:r>
      <w:r>
        <w:rPr>
          <w:rStyle w:val="12"/>
        </w:rPr>
        <w:instrText xml:space="preserve"> HYPERLINK "https://doi.org/10.1093/nar/gkv1002"</w:instrText>
      </w:r>
      <w:r>
        <w:rPr>
          <w:rStyle w:val="12"/>
        </w:rPr>
        <w:fldChar w:fldCharType="separate"/>
      </w:r>
      <w:r>
        <w:rPr>
          <w:rStyle w:val="12"/>
          <w:rtl w:val="0"/>
        </w:rPr>
        <w:t>https://doi.org/10.1093/nar/gkv1002</w:t>
      </w:r>
      <w:r>
        <w:fldChar w:fldCharType="end"/>
      </w:r>
    </w:p>
    <w:p>
      <w:pPr>
        <w:pStyle w:val="8"/>
        <w:framePr w:w="0" w:hRule="auto" w:wrap="auto" w:vAnchor="margin" w:hAnchor="text" w:yAlign="inline"/>
        <w:widowControl w:val="0"/>
        <w:spacing w:after="0" w:line="360" w:lineRule="auto"/>
        <w:ind w:left="480" w:hanging="480"/>
      </w:pPr>
      <w:r>
        <w:rPr>
          <w:rtl w:val="0"/>
          <w:lang w:val="en-US"/>
        </w:rPr>
        <w:t xml:space="preserve">Li, B., &amp; Dewey, C. N. (2011). RSEM: accurate transcript quantification from RNA-Seq data with or without a reference genome. </w:t>
      </w:r>
      <w:r>
        <w:rPr>
          <w:i/>
          <w:iCs/>
          <w:rtl w:val="0"/>
        </w:rPr>
        <w:t>BMC Bioinformatics</w:t>
      </w:r>
      <w:r>
        <w:rPr>
          <w:rtl w:val="0"/>
        </w:rPr>
        <w:t xml:space="preserve">, </w:t>
      </w:r>
      <w:r>
        <w:rPr>
          <w:i/>
          <w:iCs/>
          <w:rtl w:val="0"/>
        </w:rPr>
        <w:t>12</w:t>
      </w:r>
      <w:r>
        <w:rPr>
          <w:rtl w:val="0"/>
        </w:rPr>
        <w:t xml:space="preserve">(1), 323. </w:t>
      </w:r>
      <w:r>
        <w:rPr>
          <w:rStyle w:val="12"/>
        </w:rPr>
        <w:fldChar w:fldCharType="begin"/>
      </w:r>
      <w:r>
        <w:rPr>
          <w:rStyle w:val="12"/>
        </w:rPr>
        <w:instrText xml:space="preserve"> HYPERLINK "https://doi.org/10.1186/1471-2105-12-323"</w:instrText>
      </w:r>
      <w:r>
        <w:rPr>
          <w:rStyle w:val="12"/>
        </w:rPr>
        <w:fldChar w:fldCharType="separate"/>
      </w:r>
      <w:r>
        <w:rPr>
          <w:rStyle w:val="12"/>
          <w:rtl w:val="0"/>
        </w:rPr>
        <w:t>https://doi.org/10.1186/1471-2105-12-323</w:t>
      </w:r>
      <w:r>
        <w:fldChar w:fldCharType="end"/>
      </w:r>
    </w:p>
    <w:p>
      <w:pPr>
        <w:pStyle w:val="8"/>
        <w:framePr w:w="0" w:hRule="auto" w:wrap="auto" w:vAnchor="margin" w:hAnchor="text" w:yAlign="inline"/>
        <w:widowControl w:val="0"/>
        <w:spacing w:after="0" w:line="360" w:lineRule="auto"/>
        <w:ind w:left="480" w:hanging="480"/>
      </w:pPr>
      <w:r>
        <w:rPr>
          <w:rtl w:val="0"/>
          <w:lang w:val="en-US"/>
        </w:rPr>
        <w:t xml:space="preserve">Li, H., &amp; Durbin, R. (2009). Fast and accurate short read alignment with Burrows-Wheeler transform. </w:t>
      </w:r>
      <w:r>
        <w:rPr>
          <w:i/>
          <w:iCs/>
          <w:rtl w:val="0"/>
          <w:lang w:val="en-US"/>
        </w:rPr>
        <w:t>Bioinformatics (Oxford, England)</w:t>
      </w:r>
      <w:r>
        <w:rPr>
          <w:rtl w:val="0"/>
        </w:rPr>
        <w:t xml:space="preserve">, </w:t>
      </w:r>
      <w:r>
        <w:rPr>
          <w:i/>
          <w:iCs/>
          <w:rtl w:val="0"/>
        </w:rPr>
        <w:t>25</w:t>
      </w:r>
      <w:r>
        <w:rPr>
          <w:rtl w:val="0"/>
        </w:rPr>
        <w:t xml:space="preserve">(14), 1754–1760. </w:t>
      </w:r>
      <w:r>
        <w:rPr>
          <w:rStyle w:val="12"/>
        </w:rPr>
        <w:fldChar w:fldCharType="begin"/>
      </w:r>
      <w:r>
        <w:rPr>
          <w:rStyle w:val="12"/>
        </w:rPr>
        <w:instrText xml:space="preserve"> HYPERLINK "https://doi.org/10.1093/bioinformatics/btp324"</w:instrText>
      </w:r>
      <w:r>
        <w:rPr>
          <w:rStyle w:val="12"/>
        </w:rPr>
        <w:fldChar w:fldCharType="separate"/>
      </w:r>
      <w:r>
        <w:rPr>
          <w:rStyle w:val="12"/>
          <w:rtl w:val="0"/>
          <w:lang w:val="en-US"/>
        </w:rPr>
        <w:t>https://doi.org/10.1093/bioinformatics/btp324</w:t>
      </w:r>
      <w:r>
        <w:fldChar w:fldCharType="end"/>
      </w:r>
    </w:p>
    <w:p>
      <w:pPr>
        <w:pStyle w:val="9"/>
        <w:framePr w:w="0" w:hRule="auto" w:wrap="auto" w:vAnchor="margin" w:hAnchor="text" w:yAlign="inline"/>
        <w:bidi w:val="0"/>
        <w:spacing w:line="360" w:lineRule="auto"/>
        <w:ind w:left="567" w:right="0" w:hanging="567"/>
        <w:jc w:val="both"/>
        <w:rPr>
          <w:rFonts w:ascii="Arial" w:hAnsi="Arial" w:eastAsia="Arial" w:cs="Arial"/>
          <w:shd w:val="clear" w:color="auto" w:fill="FFFFFF"/>
          <w:rtl w:val="0"/>
        </w:rPr>
      </w:pPr>
      <w:r>
        <w:rPr>
          <w:rFonts w:ascii="Arial" w:hAnsi="Arial"/>
          <w:shd w:val="clear" w:color="auto" w:fill="FFFFFF"/>
          <w:rtl w:val="0"/>
        </w:rPr>
        <w:t>Liao, Y., Gordon K. S.</w:t>
      </w:r>
      <w:r>
        <w:rPr>
          <w:rFonts w:ascii="Arial" w:hAnsi="Arial"/>
          <w:shd w:val="clear" w:color="auto" w:fill="FFFFFF"/>
          <w:rtl w:val="0"/>
          <w:lang w:val="de-DE"/>
        </w:rPr>
        <w:t>, Wei S</w:t>
      </w:r>
      <w:r>
        <w:rPr>
          <w:rFonts w:ascii="Arial" w:hAnsi="Arial"/>
          <w:shd w:val="clear" w:color="auto" w:fill="FFFFFF"/>
          <w:rtl w:val="0"/>
        </w:rPr>
        <w:t>. (2014)</w:t>
      </w:r>
      <w:r>
        <w:rPr>
          <w:rFonts w:ascii="Arial" w:hAnsi="Arial"/>
          <w:shd w:val="clear" w:color="auto" w:fill="FFFFFF"/>
          <w:rtl w:val="0"/>
          <w:lang w:val="en-US"/>
        </w:rPr>
        <w:t xml:space="preserve"> featureCounts: an efficient general purpose program for assigning sequence reads to genomic features</w:t>
      </w:r>
      <w:r>
        <w:rPr>
          <w:rFonts w:ascii="Arial" w:hAnsi="Arial"/>
          <w:shd w:val="clear" w:color="auto" w:fill="FFFFFF"/>
          <w:rtl w:val="0"/>
        </w:rPr>
        <w:t xml:space="preserve">. </w:t>
      </w:r>
      <w:r>
        <w:rPr>
          <w:rFonts w:ascii="Arial" w:hAnsi="Arial"/>
          <w:i/>
          <w:iCs/>
          <w:shd w:val="clear" w:color="auto" w:fill="FFFFFF"/>
          <w:rtl w:val="0"/>
          <w:lang w:val="it-IT"/>
        </w:rPr>
        <w:t>Bioinformatics</w:t>
      </w:r>
      <w:r>
        <w:rPr>
          <w:rFonts w:ascii="Arial" w:hAnsi="Arial"/>
          <w:shd w:val="clear" w:color="auto" w:fill="FFFFFF"/>
          <w:rtl w:val="0"/>
        </w:rPr>
        <w:t xml:space="preserve">, </w:t>
      </w:r>
      <w:r>
        <w:rPr>
          <w:rFonts w:ascii="Arial" w:hAnsi="Arial"/>
          <w:i/>
          <w:iCs/>
          <w:shd w:val="clear" w:color="auto" w:fill="FFFFFF"/>
          <w:rtl w:val="0"/>
        </w:rPr>
        <w:t>30</w:t>
      </w:r>
      <w:r>
        <w:rPr>
          <w:rFonts w:ascii="Arial" w:hAnsi="Arial"/>
          <w:shd w:val="clear" w:color="auto" w:fill="FFFFFF"/>
          <w:rtl w:val="0"/>
        </w:rPr>
        <w:t>(7), 923</w:t>
      </w:r>
      <w:r>
        <w:rPr>
          <w:rFonts w:hint="default" w:ascii="Arial" w:hAnsi="Arial"/>
          <w:shd w:val="clear" w:color="auto" w:fill="FFFFFF"/>
          <w:rtl w:val="0"/>
        </w:rPr>
        <w:t>–</w:t>
      </w:r>
      <w:r>
        <w:rPr>
          <w:rFonts w:ascii="Arial" w:hAnsi="Arial"/>
          <w:shd w:val="clear" w:color="auto" w:fill="FFFFFF"/>
          <w:rtl w:val="0"/>
        </w:rPr>
        <w:t xml:space="preserve">930. </w:t>
      </w:r>
      <w:r>
        <w:rPr>
          <w:rStyle w:val="12"/>
          <w:rFonts w:ascii="Arial" w:hAnsi="Arial" w:eastAsia="Arial" w:cs="Arial"/>
          <w:color w:val="0000FF"/>
          <w:u w:val="single" w:color="0000FF"/>
          <w:shd w:val="clear" w:color="auto" w:fill="FFFFFF"/>
          <w:rtl w:val="0"/>
        </w:rPr>
        <w:fldChar w:fldCharType="begin"/>
      </w:r>
      <w:r>
        <w:rPr>
          <w:rStyle w:val="12"/>
          <w:rFonts w:ascii="Arial" w:hAnsi="Arial" w:eastAsia="Arial" w:cs="Arial"/>
          <w:color w:val="0000FF"/>
          <w:u w:val="single" w:color="0000FF"/>
          <w:shd w:val="clear" w:color="auto" w:fill="FFFFFF"/>
          <w:rtl w:val="0"/>
        </w:rPr>
        <w:instrText xml:space="preserve"> HYPERLINK "https://doi.org/10.1093/bioinformatics/btt656"</w:instrText>
      </w:r>
      <w:r>
        <w:rPr>
          <w:rStyle w:val="12"/>
          <w:rFonts w:ascii="Arial" w:hAnsi="Arial" w:eastAsia="Arial" w:cs="Arial"/>
          <w:color w:val="0000FF"/>
          <w:u w:val="single" w:color="0000FF"/>
          <w:shd w:val="clear" w:color="auto" w:fill="FFFFFF"/>
          <w:rtl w:val="0"/>
        </w:rPr>
        <w:fldChar w:fldCharType="separate"/>
      </w:r>
      <w:r>
        <w:rPr>
          <w:rStyle w:val="12"/>
          <w:rFonts w:ascii="Arial" w:hAnsi="Arial"/>
          <w:color w:val="0000FF"/>
          <w:u w:val="single" w:color="0000FF"/>
          <w:shd w:val="clear" w:color="auto" w:fill="FFFFFF"/>
          <w:rtl w:val="0"/>
          <w:lang w:val="en-US"/>
        </w:rPr>
        <w:t>https://doi.org/10.1093/bioinformatics/btt656</w:t>
      </w:r>
      <w:r>
        <w:rPr>
          <w:rFonts w:ascii="Arial" w:hAnsi="Arial" w:eastAsia="Arial" w:cs="Arial"/>
          <w:shd w:val="clear" w:color="auto" w:fill="FFFFFF"/>
          <w:rtl w:val="0"/>
        </w:rPr>
        <w:fldChar w:fldCharType="end"/>
      </w:r>
    </w:p>
    <w:p>
      <w:pPr>
        <w:pStyle w:val="9"/>
        <w:framePr w:w="0" w:hRule="auto" w:wrap="auto" w:vAnchor="margin" w:hAnchor="text" w:yAlign="inline"/>
        <w:bidi w:val="0"/>
        <w:spacing w:line="360" w:lineRule="auto"/>
        <w:ind w:left="567" w:right="0" w:hanging="567"/>
        <w:jc w:val="both"/>
        <w:rPr>
          <w:rFonts w:ascii="Arial" w:hAnsi="Arial" w:eastAsia="Arial" w:cs="Arial"/>
          <w:shd w:val="clear" w:color="auto" w:fill="FFFFFF"/>
          <w:rtl w:val="0"/>
        </w:rPr>
      </w:pPr>
      <w:r>
        <w:rPr>
          <w:rFonts w:ascii="Arial" w:hAnsi="Arial"/>
          <w:shd w:val="clear" w:color="auto" w:fill="FFFFFF"/>
          <w:rtl w:val="0"/>
          <w:lang w:val="en-US"/>
        </w:rPr>
        <w:t>Quinlan, A. R., &amp; Hall, I. M. (2010). BEDTools: a flexible suite of utilities for comparing genomic features. Bioinformatics , 26(6), 841</w:t>
      </w:r>
      <w:r>
        <w:rPr>
          <w:rFonts w:hint="default" w:ascii="Arial" w:hAnsi="Arial"/>
          <w:shd w:val="clear" w:color="auto" w:fill="FFFFFF"/>
          <w:rtl w:val="0"/>
        </w:rPr>
        <w:t>–</w:t>
      </w:r>
      <w:r>
        <w:rPr>
          <w:rFonts w:ascii="Arial" w:hAnsi="Arial"/>
          <w:shd w:val="clear" w:color="auto" w:fill="FFFFFF"/>
          <w:rtl w:val="0"/>
        </w:rPr>
        <w:t xml:space="preserve">842 </w:t>
      </w:r>
      <w:r>
        <w:rPr>
          <w:rStyle w:val="12"/>
          <w:rFonts w:ascii="Arial" w:hAnsi="Arial" w:eastAsia="Arial" w:cs="Arial"/>
          <w:color w:val="0000FF"/>
          <w:u w:val="single" w:color="0000FF"/>
          <w:shd w:val="clear" w:color="auto" w:fill="FFFFFF"/>
          <w:rtl w:val="0"/>
        </w:rPr>
        <w:fldChar w:fldCharType="begin"/>
      </w:r>
      <w:r>
        <w:rPr>
          <w:rStyle w:val="12"/>
          <w:rFonts w:ascii="Arial" w:hAnsi="Arial" w:eastAsia="Arial" w:cs="Arial"/>
          <w:color w:val="0000FF"/>
          <w:u w:val="single" w:color="0000FF"/>
          <w:shd w:val="clear" w:color="auto" w:fill="FFFFFF"/>
          <w:rtl w:val="0"/>
        </w:rPr>
        <w:instrText xml:space="preserve"> HYPERLINK "https://doi.org/10.1093/bioinformatics/btq033"</w:instrText>
      </w:r>
      <w:r>
        <w:rPr>
          <w:rStyle w:val="12"/>
          <w:rFonts w:ascii="Arial" w:hAnsi="Arial" w:eastAsia="Arial" w:cs="Arial"/>
          <w:color w:val="0000FF"/>
          <w:u w:val="single" w:color="0000FF"/>
          <w:shd w:val="clear" w:color="auto" w:fill="FFFFFF"/>
          <w:rtl w:val="0"/>
        </w:rPr>
        <w:fldChar w:fldCharType="separate"/>
      </w:r>
      <w:r>
        <w:rPr>
          <w:rStyle w:val="12"/>
          <w:rFonts w:ascii="Arial" w:hAnsi="Arial"/>
          <w:color w:val="0000FF"/>
          <w:u w:val="single" w:color="0000FF"/>
          <w:shd w:val="clear" w:color="auto" w:fill="FFFFFF"/>
          <w:rtl w:val="0"/>
          <w:lang w:val="en-US"/>
        </w:rPr>
        <w:t>https://doi.org/10.1093/bioinformatics/btq033</w:t>
      </w:r>
      <w:r>
        <w:rPr>
          <w:rFonts w:ascii="Arial" w:hAnsi="Arial" w:eastAsia="Arial" w:cs="Arial"/>
          <w:shd w:val="clear" w:color="auto" w:fill="FFFFFF"/>
          <w:rtl w:val="0"/>
        </w:rPr>
        <w:fldChar w:fldCharType="end"/>
      </w:r>
    </w:p>
    <w:p>
      <w:pPr>
        <w:pStyle w:val="8"/>
        <w:framePr w:w="0" w:hRule="auto" w:wrap="auto" w:vAnchor="margin" w:hAnchor="text" w:yAlign="inline"/>
        <w:widowControl w:val="0"/>
        <w:spacing w:after="0" w:line="360" w:lineRule="auto"/>
        <w:ind w:left="480" w:hanging="480"/>
      </w:pPr>
      <w:r>
        <w:rPr>
          <w:rtl w:val="0"/>
          <w:lang w:val="nl-NL"/>
        </w:rPr>
        <w:t xml:space="preserve">Rajkumar, A. P., Qvist, P., Lazarus, R., Lescai, F., Ju, J., Nyegaard, M., </w:t>
      </w:r>
      <w:r>
        <w:rPr>
          <w:rtl w:val="0"/>
        </w:rPr>
        <w:t xml:space="preserve">… </w:t>
      </w:r>
      <w:r>
        <w:rPr>
          <w:rtl w:val="0"/>
          <w:lang w:val="en-US"/>
        </w:rPr>
        <w:t xml:space="preserve">Christensen, J. H. (2015). Experimental validation of methods for differential gene expression analysis and sample pooling in RNA-seq. </w:t>
      </w:r>
      <w:r>
        <w:rPr>
          <w:i/>
          <w:iCs/>
          <w:rtl w:val="0"/>
          <w:lang w:val="it-IT"/>
        </w:rPr>
        <w:t>BMC Genomics</w:t>
      </w:r>
      <w:r>
        <w:rPr>
          <w:rtl w:val="0"/>
        </w:rPr>
        <w:t xml:space="preserve">, </w:t>
      </w:r>
      <w:r>
        <w:rPr>
          <w:i/>
          <w:iCs/>
          <w:rtl w:val="0"/>
        </w:rPr>
        <w:t>16</w:t>
      </w:r>
      <w:r>
        <w:rPr>
          <w:rtl w:val="0"/>
        </w:rPr>
        <w:t xml:space="preserve">, 548. </w:t>
      </w:r>
      <w:r>
        <w:rPr>
          <w:rStyle w:val="12"/>
        </w:rPr>
        <w:fldChar w:fldCharType="begin"/>
      </w:r>
      <w:r>
        <w:rPr>
          <w:rStyle w:val="12"/>
        </w:rPr>
        <w:instrText xml:space="preserve"> HYPERLINK "https://doi.org/10.1186/s12864-015-1767-y"</w:instrText>
      </w:r>
      <w:r>
        <w:rPr>
          <w:rStyle w:val="12"/>
        </w:rPr>
        <w:fldChar w:fldCharType="separate"/>
      </w:r>
      <w:r>
        <w:rPr>
          <w:rStyle w:val="12"/>
          <w:rtl w:val="0"/>
        </w:rPr>
        <w:t>https://doi.org/10.1186/s12864-015-1767-y</w:t>
      </w:r>
      <w:r>
        <w:fldChar w:fldCharType="end"/>
      </w:r>
    </w:p>
    <w:p>
      <w:pPr>
        <w:pStyle w:val="8"/>
        <w:framePr w:w="0" w:hRule="auto" w:wrap="auto" w:vAnchor="margin" w:hAnchor="text" w:yAlign="inline"/>
        <w:widowControl w:val="0"/>
        <w:spacing w:after="0" w:line="360" w:lineRule="auto"/>
        <w:ind w:left="480" w:hanging="480"/>
      </w:pPr>
      <w:r>
        <w:rPr>
          <w:rtl w:val="0"/>
          <w:lang w:val="en-US"/>
        </w:rPr>
        <w:t xml:space="preserve">Ramachandran, P., Palidwor, G. A., Porter, C. J., &amp; Perkins, T. J. (2013). MaSC: mappability-sensitive cross-correlation for estimating mean fragment length of single-end short-read sequencing data. </w:t>
      </w:r>
      <w:r>
        <w:rPr>
          <w:i/>
          <w:iCs/>
          <w:rtl w:val="0"/>
          <w:lang w:val="en-US"/>
        </w:rPr>
        <w:t>Bioinformatics (Oxford, England)</w:t>
      </w:r>
      <w:r>
        <w:rPr>
          <w:rtl w:val="0"/>
        </w:rPr>
        <w:t xml:space="preserve">, </w:t>
      </w:r>
      <w:r>
        <w:rPr>
          <w:i/>
          <w:iCs/>
          <w:rtl w:val="0"/>
        </w:rPr>
        <w:t>29</w:t>
      </w:r>
      <w:r>
        <w:rPr>
          <w:rtl w:val="0"/>
        </w:rPr>
        <w:t xml:space="preserve">(4), 444–450. </w:t>
      </w:r>
      <w:r>
        <w:rPr>
          <w:rStyle w:val="12"/>
        </w:rPr>
        <w:fldChar w:fldCharType="begin"/>
      </w:r>
      <w:r>
        <w:rPr>
          <w:rStyle w:val="12"/>
        </w:rPr>
        <w:instrText xml:space="preserve"> HYPERLINK "https://doi.org/10.1093/bioinformatics/btt001"</w:instrText>
      </w:r>
      <w:r>
        <w:rPr>
          <w:rStyle w:val="12"/>
        </w:rPr>
        <w:fldChar w:fldCharType="separate"/>
      </w:r>
      <w:r>
        <w:rPr>
          <w:rStyle w:val="12"/>
          <w:rtl w:val="0"/>
          <w:lang w:val="en-US"/>
        </w:rPr>
        <w:t>https://doi.org/10.1093/bioinformatics/btt001</w:t>
      </w:r>
      <w:r>
        <w:fldChar w:fldCharType="end"/>
      </w:r>
    </w:p>
    <w:p>
      <w:pPr>
        <w:pStyle w:val="8"/>
        <w:framePr w:w="0" w:hRule="auto" w:wrap="auto" w:vAnchor="margin" w:hAnchor="text" w:yAlign="inline"/>
        <w:widowControl w:val="0"/>
        <w:spacing w:after="0" w:line="360" w:lineRule="auto"/>
        <w:ind w:left="480" w:hanging="480"/>
      </w:pPr>
      <w:r>
        <w:rPr>
          <w:rtl w:val="0"/>
          <w:lang w:val="nl-NL"/>
        </w:rPr>
        <w:t>Ram</w:t>
      </w:r>
      <w:r>
        <w:rPr>
          <w:rtl w:val="0"/>
        </w:rPr>
        <w:t>írez, F., Ryan, D. P., Grü</w:t>
      </w:r>
      <w:r>
        <w:rPr>
          <w:rtl w:val="0"/>
          <w:lang w:val="de-DE"/>
        </w:rPr>
        <w:t xml:space="preserve">ning, B., Bhardwaj, V., Kilpert, F., Richter, A. S., </w:t>
      </w:r>
      <w:r>
        <w:rPr>
          <w:rtl w:val="0"/>
        </w:rPr>
        <w:t xml:space="preserve">… </w:t>
      </w:r>
      <w:r>
        <w:rPr>
          <w:rtl w:val="0"/>
          <w:lang w:val="en-US"/>
        </w:rPr>
        <w:t xml:space="preserve">Manke, T. (2016). deepTools2: a next generation web server for deep-sequencing data analysis. </w:t>
      </w:r>
      <w:r>
        <w:rPr>
          <w:i/>
          <w:iCs/>
          <w:rtl w:val="0"/>
          <w:lang w:val="de-DE"/>
        </w:rPr>
        <w:t>Nucleic Acids Research</w:t>
      </w:r>
      <w:r>
        <w:rPr>
          <w:rtl w:val="0"/>
        </w:rPr>
        <w:t xml:space="preserve">, </w:t>
      </w:r>
      <w:r>
        <w:rPr>
          <w:i/>
          <w:iCs/>
          <w:rtl w:val="0"/>
        </w:rPr>
        <w:t>44</w:t>
      </w:r>
      <w:r>
        <w:rPr>
          <w:rtl w:val="0"/>
        </w:rPr>
        <w:t xml:space="preserve">(W1), W160–W165. </w:t>
      </w:r>
      <w:r>
        <w:rPr>
          <w:rStyle w:val="12"/>
        </w:rPr>
        <w:fldChar w:fldCharType="begin"/>
      </w:r>
      <w:r>
        <w:rPr>
          <w:rStyle w:val="12"/>
        </w:rPr>
        <w:instrText xml:space="preserve"> HYPERLINK "https://doi.org/10.1093/nar/gkw257"</w:instrText>
      </w:r>
      <w:r>
        <w:rPr>
          <w:rStyle w:val="12"/>
        </w:rPr>
        <w:fldChar w:fldCharType="separate"/>
      </w:r>
      <w:r>
        <w:rPr>
          <w:rStyle w:val="12"/>
          <w:rtl w:val="0"/>
        </w:rPr>
        <w:t>https://doi.org/10.1093/nar/gkw257</w:t>
      </w:r>
      <w:r>
        <w:fldChar w:fldCharType="end"/>
      </w:r>
    </w:p>
    <w:p>
      <w:pPr>
        <w:pStyle w:val="9"/>
        <w:framePr w:w="0" w:hRule="auto" w:wrap="auto" w:vAnchor="margin" w:hAnchor="text" w:yAlign="inline"/>
        <w:bidi w:val="0"/>
        <w:spacing w:line="360" w:lineRule="auto"/>
        <w:ind w:left="567" w:right="0" w:hanging="567"/>
        <w:jc w:val="both"/>
        <w:rPr>
          <w:rFonts w:ascii="Arial" w:hAnsi="Arial" w:eastAsia="Arial" w:cs="Arial"/>
          <w:rtl w:val="0"/>
        </w:rPr>
      </w:pPr>
      <w:r>
        <w:rPr>
          <w:rFonts w:ascii="Arial" w:hAnsi="Arial"/>
          <w:rtl w:val="0"/>
        </w:rPr>
        <w:t>Rao, S.S.</w:t>
      </w:r>
      <w:r>
        <w:rPr>
          <w:rFonts w:ascii="Arial" w:hAnsi="Arial"/>
          <w:rtl w:val="0"/>
          <w:lang w:val="da-DK"/>
        </w:rPr>
        <w:t>, Huntley</w:t>
      </w:r>
      <w:r>
        <w:rPr>
          <w:rFonts w:ascii="Arial" w:hAnsi="Arial"/>
          <w:rtl w:val="0"/>
        </w:rPr>
        <w:t>, M.H.</w:t>
      </w:r>
      <w:r>
        <w:rPr>
          <w:rFonts w:ascii="Arial" w:hAnsi="Arial"/>
          <w:rtl w:val="0"/>
          <w:lang w:val="pt-PT"/>
        </w:rPr>
        <w:t>, Durand</w:t>
      </w:r>
      <w:r>
        <w:rPr>
          <w:rFonts w:ascii="Arial" w:hAnsi="Arial"/>
          <w:rtl w:val="0"/>
        </w:rPr>
        <w:t>, N.C., Stamenova, E.K.</w:t>
      </w:r>
      <w:r>
        <w:rPr>
          <w:rFonts w:ascii="Arial" w:hAnsi="Arial"/>
          <w:rtl w:val="0"/>
          <w:lang w:val="de-DE"/>
        </w:rPr>
        <w:t>, Bochkov</w:t>
      </w:r>
      <w:r>
        <w:rPr>
          <w:rFonts w:ascii="Arial" w:hAnsi="Arial"/>
          <w:rtl w:val="0"/>
        </w:rPr>
        <w:t>, I.D., Robinson, J.T.</w:t>
      </w:r>
      <w:r>
        <w:rPr>
          <w:rFonts w:ascii="Arial" w:hAnsi="Arial"/>
          <w:rtl w:val="0"/>
          <w:lang w:val="nl-NL"/>
        </w:rPr>
        <w:t>, Sanborn</w:t>
      </w:r>
      <w:r>
        <w:rPr>
          <w:rFonts w:ascii="Arial" w:hAnsi="Arial"/>
          <w:rtl w:val="0"/>
        </w:rPr>
        <w:t>, A.L.</w:t>
      </w:r>
      <w:r>
        <w:rPr>
          <w:rFonts w:ascii="Arial" w:hAnsi="Arial"/>
          <w:rtl w:val="0"/>
          <w:lang w:val="de-DE"/>
        </w:rPr>
        <w:t>, Machol</w:t>
      </w:r>
      <w:r>
        <w:rPr>
          <w:rFonts w:ascii="Arial" w:hAnsi="Arial"/>
          <w:rtl w:val="0"/>
        </w:rPr>
        <w:t>, I.</w:t>
      </w:r>
      <w:r>
        <w:rPr>
          <w:rFonts w:ascii="Arial" w:hAnsi="Arial"/>
          <w:rtl w:val="0"/>
          <w:lang w:val="nl-NL"/>
        </w:rPr>
        <w:t>, Omer</w:t>
      </w:r>
      <w:r>
        <w:rPr>
          <w:rFonts w:ascii="Arial" w:hAnsi="Arial"/>
          <w:rtl w:val="0"/>
        </w:rPr>
        <w:t>, A.D.</w:t>
      </w:r>
      <w:r>
        <w:rPr>
          <w:rFonts w:ascii="Arial" w:hAnsi="Arial"/>
          <w:rtl w:val="0"/>
          <w:lang w:val="de-DE"/>
        </w:rPr>
        <w:t>, Lander</w:t>
      </w:r>
      <w:r>
        <w:rPr>
          <w:rFonts w:ascii="Arial" w:hAnsi="Arial"/>
          <w:rtl w:val="0"/>
        </w:rPr>
        <w:t xml:space="preserve">, E.S., Aiden, E.L. (2014) </w:t>
      </w:r>
      <w:r>
        <w:rPr>
          <w:rFonts w:ascii="Arial" w:hAnsi="Arial"/>
          <w:rtl w:val="0"/>
          <w:lang w:val="en-US"/>
        </w:rPr>
        <w:t xml:space="preserve">A 3D map of the human genome at kilobase resolution reveals principles of chromatin looping. </w:t>
      </w:r>
      <w:r>
        <w:rPr>
          <w:rFonts w:ascii="Arial" w:hAnsi="Arial"/>
          <w:i/>
          <w:iCs/>
          <w:rtl w:val="0"/>
          <w:lang w:val="it-IT"/>
        </w:rPr>
        <w:t>Cell</w:t>
      </w:r>
      <w:r>
        <w:rPr>
          <w:rFonts w:ascii="Arial" w:hAnsi="Arial"/>
          <w:rtl w:val="0"/>
        </w:rPr>
        <w:t>,</w:t>
      </w:r>
      <w:r>
        <w:rPr>
          <w:rFonts w:ascii="Arial" w:hAnsi="Arial"/>
          <w:i/>
          <w:iCs/>
          <w:rtl w:val="0"/>
        </w:rPr>
        <w:t>159</w:t>
      </w:r>
      <w:r>
        <w:rPr>
          <w:rFonts w:ascii="Arial" w:hAnsi="Arial"/>
          <w:rtl w:val="0"/>
        </w:rPr>
        <w:t xml:space="preserve">(7):1665-80. </w:t>
      </w:r>
      <w:r>
        <w:rPr>
          <w:rStyle w:val="12"/>
          <w:rFonts w:ascii="Arial" w:hAnsi="Arial" w:eastAsia="Arial" w:cs="Arial"/>
          <w:color w:val="0000FF"/>
          <w:u w:val="single" w:color="0000FF"/>
          <w:rtl w:val="0"/>
        </w:rPr>
        <w:fldChar w:fldCharType="begin"/>
      </w:r>
      <w:r>
        <w:rPr>
          <w:rStyle w:val="12"/>
          <w:rFonts w:ascii="Arial" w:hAnsi="Arial" w:eastAsia="Arial" w:cs="Arial"/>
          <w:color w:val="0000FF"/>
          <w:u w:val="single" w:color="0000FF"/>
          <w:rtl w:val="0"/>
        </w:rPr>
        <w:instrText xml:space="preserve"> HYPERLINK "https://doi.org/10.1016/j.cell.2014.11.021"</w:instrText>
      </w:r>
      <w:r>
        <w:rPr>
          <w:rStyle w:val="12"/>
          <w:rFonts w:ascii="Arial" w:hAnsi="Arial" w:eastAsia="Arial" w:cs="Arial"/>
          <w:color w:val="0000FF"/>
          <w:u w:val="single" w:color="0000FF"/>
          <w:rtl w:val="0"/>
        </w:rPr>
        <w:fldChar w:fldCharType="separate"/>
      </w:r>
      <w:r>
        <w:rPr>
          <w:rStyle w:val="12"/>
          <w:rFonts w:ascii="Arial" w:hAnsi="Arial"/>
          <w:color w:val="0000FF"/>
          <w:u w:val="single" w:color="0000FF"/>
          <w:rtl w:val="0"/>
        </w:rPr>
        <w:t>https://</w:t>
      </w:r>
      <w:r>
        <w:rPr>
          <w:rStyle w:val="12"/>
          <w:rFonts w:ascii="Arial" w:hAnsi="Arial"/>
          <w:color w:val="0000FF"/>
          <w:u w:val="single" w:color="0000FF"/>
          <w:rtl w:val="0"/>
          <w:lang w:val="pt-PT"/>
        </w:rPr>
        <w:t>doi</w:t>
      </w:r>
      <w:r>
        <w:rPr>
          <w:rStyle w:val="12"/>
          <w:rFonts w:ascii="Arial" w:hAnsi="Arial"/>
          <w:color w:val="0000FF"/>
          <w:u w:val="single" w:color="0000FF"/>
          <w:rtl w:val="0"/>
        </w:rPr>
        <w:t>.org/10.1016/j.cell.2014.11.021</w:t>
      </w:r>
      <w:r>
        <w:rPr>
          <w:rFonts w:ascii="Arial" w:hAnsi="Arial" w:eastAsia="Arial" w:cs="Arial"/>
          <w:rtl w:val="0"/>
        </w:rPr>
        <w:fldChar w:fldCharType="end"/>
      </w:r>
    </w:p>
    <w:p>
      <w:pPr>
        <w:pStyle w:val="8"/>
        <w:framePr w:w="0" w:hRule="auto" w:wrap="auto" w:vAnchor="margin" w:hAnchor="text" w:yAlign="inline"/>
        <w:widowControl w:val="0"/>
        <w:spacing w:after="0" w:line="336" w:lineRule="auto"/>
        <w:ind w:left="480" w:hanging="480"/>
      </w:pPr>
      <w:r>
        <w:rPr>
          <w:rtl w:val="0"/>
          <w:lang w:val="fr-FR"/>
        </w:rPr>
        <w:t xml:space="preserve">Schwalb, B., Michel, M., Zacher, B., Fruhauf, K., Demel, C., Tresch, A., … </w:t>
      </w:r>
      <w:r>
        <w:rPr>
          <w:rtl w:val="0"/>
          <w:lang w:val="en-US"/>
        </w:rPr>
        <w:t xml:space="preserve">Cramer, P. (2016). TT-seq maps the human transient transcriptome. </w:t>
      </w:r>
      <w:r>
        <w:rPr>
          <w:i/>
          <w:iCs/>
          <w:rtl w:val="0"/>
          <w:lang w:val="en-US"/>
        </w:rPr>
        <w:t>Science</w:t>
      </w:r>
      <w:r>
        <w:rPr>
          <w:rtl w:val="0"/>
        </w:rPr>
        <w:t xml:space="preserve">, </w:t>
      </w:r>
      <w:r>
        <w:rPr>
          <w:i/>
          <w:iCs/>
          <w:rtl w:val="0"/>
        </w:rPr>
        <w:t>352</w:t>
      </w:r>
      <w:r>
        <w:rPr>
          <w:rtl w:val="0"/>
        </w:rPr>
        <w:t xml:space="preserve">(6290), 1225–1228. </w:t>
      </w:r>
      <w:r>
        <w:rPr>
          <w:rStyle w:val="12"/>
        </w:rPr>
        <w:fldChar w:fldCharType="begin"/>
      </w:r>
      <w:r>
        <w:rPr>
          <w:rStyle w:val="12"/>
        </w:rPr>
        <w:instrText xml:space="preserve"> HYPERLINK "https://doi.org/10.1126/science.aad9841"</w:instrText>
      </w:r>
      <w:r>
        <w:rPr>
          <w:rStyle w:val="12"/>
        </w:rPr>
        <w:fldChar w:fldCharType="separate"/>
      </w:r>
      <w:r>
        <w:rPr>
          <w:rStyle w:val="12"/>
          <w:rtl w:val="0"/>
          <w:lang w:val="en-US"/>
        </w:rPr>
        <w:t>https://doi.org/10.1126/science.aad9841</w:t>
      </w:r>
      <w:r>
        <w:fldChar w:fldCharType="end"/>
      </w:r>
    </w:p>
    <w:p>
      <w:pPr>
        <w:pStyle w:val="9"/>
        <w:framePr w:w="0" w:hRule="auto" w:wrap="auto" w:vAnchor="margin" w:hAnchor="text" w:yAlign="inline"/>
        <w:bidi w:val="0"/>
        <w:spacing w:line="360" w:lineRule="auto"/>
        <w:ind w:left="0" w:right="0" w:firstLine="0"/>
        <w:jc w:val="both"/>
        <w:rPr>
          <w:rFonts w:ascii="Arial" w:hAnsi="Arial" w:eastAsia="Arial" w:cs="Arial"/>
          <w:rtl w:val="0"/>
        </w:rPr>
      </w:pPr>
      <w:r>
        <w:rPr>
          <w:rFonts w:ascii="Arial" w:hAnsi="Arial"/>
          <w:rtl w:val="0"/>
          <w:lang w:val="de-DE"/>
        </w:rPr>
        <w:t>Smit, A</w:t>
      </w:r>
      <w:r>
        <w:rPr>
          <w:rFonts w:ascii="Arial" w:hAnsi="Arial"/>
          <w:rtl w:val="0"/>
        </w:rPr>
        <w:t>.F.A.</w:t>
      </w:r>
      <w:r>
        <w:rPr>
          <w:rFonts w:ascii="Arial" w:hAnsi="Arial"/>
          <w:rtl w:val="0"/>
          <w:lang w:val="en-US"/>
        </w:rPr>
        <w:t>, Hubley, R</w:t>
      </w:r>
      <w:r>
        <w:rPr>
          <w:rFonts w:ascii="Arial" w:hAnsi="Arial"/>
          <w:rtl w:val="0"/>
        </w:rPr>
        <w:t>.</w:t>
      </w:r>
      <w:r>
        <w:rPr>
          <w:rFonts w:ascii="Arial" w:hAnsi="Arial"/>
          <w:rtl w:val="0"/>
          <w:lang w:val="en-US"/>
        </w:rPr>
        <w:t xml:space="preserve"> &amp; Green, P. </w:t>
      </w:r>
      <w:r>
        <w:rPr>
          <w:rFonts w:ascii="Arial" w:hAnsi="Arial"/>
          <w:i/>
          <w:iCs/>
          <w:rtl w:val="0"/>
          <w:lang w:val="en-US"/>
        </w:rPr>
        <w:t>RepeatMasker Open-4.0</w:t>
      </w:r>
      <w:r>
        <w:rPr>
          <w:rFonts w:ascii="Arial" w:hAnsi="Arial"/>
          <w:rtl w:val="0"/>
        </w:rPr>
        <w:t xml:space="preserve">. 2013-2015 </w:t>
      </w:r>
      <w:r>
        <w:rPr>
          <w:rStyle w:val="12"/>
          <w:rFonts w:ascii="Arial" w:hAnsi="Arial" w:eastAsia="Arial" w:cs="Arial"/>
          <w:color w:val="0000FF"/>
          <w:u w:val="single" w:color="0000FF"/>
          <w:rtl w:val="0"/>
        </w:rPr>
        <w:fldChar w:fldCharType="begin"/>
      </w:r>
      <w:r>
        <w:rPr>
          <w:rStyle w:val="12"/>
          <w:rFonts w:ascii="Arial" w:hAnsi="Arial" w:eastAsia="Arial" w:cs="Arial"/>
          <w:color w:val="0000FF"/>
          <w:u w:val="single" w:color="0000FF"/>
          <w:rtl w:val="0"/>
        </w:rPr>
        <w:instrText xml:space="preserve"> HYPERLINK "http://www.repeatmasker.org"</w:instrText>
      </w:r>
      <w:r>
        <w:rPr>
          <w:rStyle w:val="12"/>
          <w:rFonts w:ascii="Arial" w:hAnsi="Arial" w:eastAsia="Arial" w:cs="Arial"/>
          <w:color w:val="0000FF"/>
          <w:u w:val="single" w:color="0000FF"/>
          <w:rtl w:val="0"/>
        </w:rPr>
        <w:fldChar w:fldCharType="separate"/>
      </w:r>
      <w:r>
        <w:rPr>
          <w:rStyle w:val="12"/>
          <w:rFonts w:ascii="Arial" w:hAnsi="Arial"/>
          <w:color w:val="0000FF"/>
          <w:u w:val="single" w:color="0000FF"/>
          <w:rtl w:val="0"/>
          <w:lang w:val="en-US"/>
        </w:rPr>
        <w:t>http://www.repeatmasker.org</w:t>
      </w:r>
      <w:r>
        <w:rPr>
          <w:rFonts w:ascii="Arial" w:hAnsi="Arial" w:eastAsia="Arial" w:cs="Arial"/>
          <w:rtl w:val="0"/>
        </w:rPr>
        <w:fldChar w:fldCharType="end"/>
      </w:r>
    </w:p>
    <w:p>
      <w:pPr>
        <w:pStyle w:val="9"/>
        <w:framePr w:w="0" w:hRule="auto" w:wrap="auto" w:vAnchor="margin" w:hAnchor="text" w:yAlign="inline"/>
        <w:bidi w:val="0"/>
        <w:spacing w:line="360" w:lineRule="auto"/>
        <w:ind w:left="567" w:right="0" w:hanging="567"/>
        <w:jc w:val="both"/>
        <w:rPr>
          <w:rFonts w:ascii="Arial" w:hAnsi="Arial" w:eastAsia="Arial" w:cs="Arial"/>
          <w:rtl w:val="0"/>
        </w:rPr>
      </w:pPr>
      <w:r>
        <w:rPr>
          <w:rFonts w:ascii="Arial" w:hAnsi="Arial"/>
          <w:rtl w:val="0"/>
          <w:lang w:val="it-IT"/>
        </w:rPr>
        <w:t>Yang, J., McGovern, A., Martin, P., Duffus, K., Ge, X., Zarrineh, P., Morris, A. P., Adamson, A.,</w:t>
      </w:r>
      <w:r>
        <w:rPr>
          <w:rFonts w:ascii="Arial" w:hAnsi="Arial"/>
          <w:rtl w:val="0"/>
        </w:rPr>
        <w:t xml:space="preserve"> </w:t>
      </w:r>
      <w:r>
        <w:rPr>
          <w:rFonts w:ascii="Arial" w:hAnsi="Arial"/>
          <w:rtl w:val="0"/>
          <w:lang w:val="en-US"/>
        </w:rPr>
        <w:t>Fraser, P., Rattray, M., &amp; Eyre, S. (</w:t>
      </w:r>
      <w:r>
        <w:rPr>
          <w:rFonts w:ascii="Arial" w:hAnsi="Arial"/>
          <w:rtl w:val="0"/>
        </w:rPr>
        <w:t>2020</w:t>
      </w:r>
      <w:r>
        <w:rPr>
          <w:rFonts w:ascii="Arial" w:hAnsi="Arial"/>
          <w:rtl w:val="0"/>
          <w:lang w:val="en-US"/>
        </w:rPr>
        <w:t>). Analysis of chromatin organization and gene</w:t>
      </w:r>
      <w:r>
        <w:rPr>
          <w:rFonts w:ascii="Arial" w:hAnsi="Arial" w:eastAsia="Arial" w:cs="Arial"/>
          <w:rtl w:val="0"/>
        </w:rPr>
        <w:tab/>
      </w:r>
      <w:r>
        <w:rPr>
          <w:rFonts w:ascii="Arial" w:hAnsi="Arial"/>
          <w:rtl w:val="0"/>
          <w:lang w:val="en-US"/>
        </w:rPr>
        <w:t xml:space="preserve">expression in T cells identifies functional genes for rheumatoid arthritis. </w:t>
      </w:r>
      <w:r>
        <w:rPr>
          <w:rStyle w:val="12"/>
          <w:rFonts w:ascii="Arial" w:hAnsi="Arial" w:eastAsia="Arial" w:cs="Arial"/>
          <w:color w:val="0000FF"/>
          <w:u w:val="single" w:color="0000FF"/>
          <w:rtl w:val="0"/>
        </w:rPr>
        <w:fldChar w:fldCharType="begin"/>
      </w:r>
      <w:r>
        <w:rPr>
          <w:rStyle w:val="12"/>
          <w:rFonts w:ascii="Arial" w:hAnsi="Arial" w:eastAsia="Arial" w:cs="Arial"/>
          <w:color w:val="0000FF"/>
          <w:u w:val="single" w:color="0000FF"/>
          <w:rtl w:val="0"/>
        </w:rPr>
        <w:instrText xml:space="preserve"> HYPERLINK "http://www.apple.com/tw"</w:instrText>
      </w:r>
      <w:r>
        <w:rPr>
          <w:rStyle w:val="12"/>
          <w:rFonts w:ascii="Arial" w:hAnsi="Arial" w:eastAsia="Arial" w:cs="Arial"/>
          <w:color w:val="0000FF"/>
          <w:u w:val="single" w:color="0000FF"/>
          <w:rtl w:val="0"/>
        </w:rPr>
        <w:fldChar w:fldCharType="separate"/>
      </w:r>
      <w:r>
        <w:rPr>
          <w:rStyle w:val="12"/>
          <w:rFonts w:ascii="Arial" w:hAnsi="Arial"/>
          <w:color w:val="0000FF"/>
          <w:u w:val="single" w:color="0000FF"/>
          <w:rtl w:val="0"/>
          <w:lang w:val="zh-TW" w:eastAsia="zh-TW"/>
        </w:rPr>
        <w:t>https://doi.org/10.1101/827923</w:t>
      </w:r>
      <w:r>
        <w:rPr>
          <w:rFonts w:ascii="Arial" w:hAnsi="Arial" w:eastAsia="Arial" w:cs="Arial"/>
          <w:rtl w:val="0"/>
        </w:rPr>
        <w:fldChar w:fldCharType="end"/>
      </w:r>
    </w:p>
    <w:p>
      <w:pPr>
        <w:pStyle w:val="8"/>
        <w:framePr w:w="0" w:hRule="auto" w:wrap="auto" w:vAnchor="margin" w:hAnchor="text" w:yAlign="inline"/>
        <w:widowControl w:val="0"/>
        <w:spacing w:after="0" w:line="336" w:lineRule="auto"/>
        <w:ind w:left="480" w:hanging="480"/>
      </w:pPr>
      <w:r>
        <w:rPr>
          <w:rtl w:val="0"/>
          <w:lang w:val="nl-NL"/>
        </w:rPr>
        <w:t xml:space="preserve">Zhang, Y., Liu, T., Meyer, C. A., Eeckhoute, J., Johnson, D. S., Bernstein, B. E., </w:t>
      </w:r>
      <w:r>
        <w:rPr>
          <w:rtl w:val="0"/>
        </w:rPr>
        <w:t xml:space="preserve">… </w:t>
      </w:r>
      <w:r>
        <w:rPr>
          <w:rtl w:val="0"/>
          <w:lang w:val="en-US"/>
        </w:rPr>
        <w:t xml:space="preserve">Liu, X. S. (2008). Model-based analysis of ChIP-Seq (MACS). </w:t>
      </w:r>
      <w:r>
        <w:rPr>
          <w:i/>
          <w:iCs/>
          <w:rtl w:val="0"/>
          <w:lang w:val="it-IT"/>
        </w:rPr>
        <w:t>Genome Biology</w:t>
      </w:r>
      <w:r>
        <w:rPr>
          <w:rtl w:val="0"/>
        </w:rPr>
        <w:t xml:space="preserve">, </w:t>
      </w:r>
      <w:r>
        <w:rPr>
          <w:i/>
          <w:iCs/>
          <w:rtl w:val="0"/>
        </w:rPr>
        <w:t>9</w:t>
      </w:r>
      <w:r>
        <w:rPr>
          <w:rtl w:val="0"/>
        </w:rPr>
        <w:t xml:space="preserve">(9), R137. </w:t>
      </w:r>
      <w:r>
        <w:rPr>
          <w:rStyle w:val="12"/>
        </w:rPr>
        <w:fldChar w:fldCharType="begin"/>
      </w:r>
      <w:r>
        <w:rPr>
          <w:rStyle w:val="12"/>
        </w:rPr>
        <w:instrText xml:space="preserve"> HYPERLINK "https://doi.org/10.1186/gb-2008-9-9-r137"</w:instrText>
      </w:r>
      <w:r>
        <w:rPr>
          <w:rStyle w:val="12"/>
        </w:rPr>
        <w:fldChar w:fldCharType="separate"/>
      </w:r>
      <w:r>
        <w:rPr>
          <w:rStyle w:val="12"/>
          <w:rtl w:val="0"/>
        </w:rPr>
        <w:t>https://doi.org/10.1186/gb-2008-9-9-r137</w:t>
      </w:r>
      <w:r>
        <w:fldChar w:fldCharType="end"/>
      </w:r>
    </w:p>
    <w:p>
      <w:pPr>
        <w:pStyle w:val="8"/>
        <w:framePr w:w="0" w:hRule="auto" w:wrap="auto" w:vAnchor="margin" w:hAnchor="text" w:yAlign="inline"/>
        <w:widowControl w:val="0"/>
        <w:spacing w:after="0" w:line="336" w:lineRule="auto"/>
        <w:ind w:left="480" w:hanging="480"/>
      </w:pPr>
    </w:p>
    <w:p>
      <w:pPr>
        <w:pStyle w:val="9"/>
        <w:framePr w:w="0" w:hRule="auto" w:wrap="auto" w:vAnchor="margin" w:hAnchor="text" w:yAlign="inline"/>
        <w:bidi w:val="0"/>
        <w:ind w:left="0" w:right="0" w:firstLine="0"/>
        <w:jc w:val="both"/>
        <w:rPr>
          <w:rtl w:val="0"/>
        </w:rPr>
      </w:pPr>
    </w:p>
    <w:p>
      <w:pPr>
        <w:framePr w:w="0" w:hRule="auto" w:wrap="auto" w:vAnchor="margin" w:hAnchor="text" w:yAlign="inline"/>
        <w:rPr>
          <w:rtl w:val="0"/>
        </w:rPr>
      </w:pPr>
      <w:bookmarkStart w:id="1" w:name="_GoBack"/>
      <w:bookmarkEnd w:id="1"/>
    </w:p>
    <w:sectPr>
      <w:headerReference r:id="rId5" w:type="default"/>
      <w:footerReference r:id="rId6" w:type="default"/>
      <w:pgSz w:w="11900" w:h="16840"/>
      <w:pgMar w:top="1417" w:right="1417" w:bottom="1417" w:left="1417" w:header="0" w:footer="0" w:gutter="0"/>
      <w:cols w:space="720" w:num="1"/>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Heng Chang Chen" w:date="2022-06-13T13:03:45Z" w:initials="">
    <w:p w14:paraId="FEFFDFA4">
      <w:pPr>
        <w:pStyle w:val="9"/>
        <w:framePr w:w="0" w:hRule="auto" w:wrap="auto" w:vAnchor="margin" w:hAnchor="text" w:yAlign="inline"/>
        <w:bidi w:val="0"/>
      </w:pPr>
    </w:p>
    <w:p w14:paraId="176CA127">
      <w:pPr>
        <w:pStyle w:val="9"/>
        <w:framePr w:w="0" w:hRule="auto" w:wrap="auto" w:vAnchor="margin" w:hAnchor="text" w:yAlign="inline"/>
        <w:bidi w:val="0"/>
      </w:pPr>
      <w:r>
        <w:rPr>
          <w:rFonts w:eastAsia="Arial Unicode MS" w:cs="Arial Unicode MS"/>
          <w:rtl w:val="0"/>
        </w:rPr>
        <w:t>Do we update by using hg38?</w:t>
      </w:r>
    </w:p>
  </w:comment>
  <w:comment w:id="1" w:author="raoul" w:date="2022-11-02T17:07:54Z" w:initials="r">
    <w:p w14:paraId="6BA88FB3">
      <w:pPr>
        <w:pStyle w:val="2"/>
        <w:framePr/>
        <w:rPr>
          <w:rFonts w:hint="default"/>
        </w:rPr>
      </w:pPr>
      <w:r>
        <w:rPr>
          <w:rFonts w:hint="default"/>
        </w:rPr>
        <w:t>No as the promotor capture were mapped to hg19</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176CA127" w15:done="0"/>
  <w15:commentEx w15:paraId="6BA88FB3" w15:done="0" w15:paraIdParent="176CA127"/>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libri">
    <w:altName w:val="Arial"/>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Arial Unicode MS">
    <w:altName w:val="Times New Roman"/>
    <w:panose1 w:val="00000000000000000000"/>
    <w:charset w:val="86"/>
    <w:family w:val="roman"/>
    <w:pitch w:val="default"/>
    <w:sig w:usb0="00000000" w:usb1="00000000" w:usb2="00000000" w:usb3="00000000" w:csb0="00000000" w:csb1="00000000"/>
  </w:font>
  <w:font w:name="Helvetica Neue">
    <w:altName w:val="East Syriac Adiabene"/>
    <w:panose1 w:val="00000000000000000000"/>
    <w:charset w:val="00"/>
    <w:family w:val="roman"/>
    <w:pitch w:val="default"/>
    <w:sig w:usb0="00000000" w:usb1="00000000" w:usb2="00000000" w:usb3="00000000" w:csb0="00000000" w:csb1="00000000"/>
  </w:font>
  <w:font w:name="Courier">
    <w:altName w:val="East Syriac Adiabene"/>
    <w:panose1 w:val="00000000000000000000"/>
    <w:charset w:val="00"/>
    <w:family w:val="roman"/>
    <w:pitch w:val="default"/>
    <w:sig w:usb0="00000000" w:usb1="00000000" w:usb2="00000000" w:usb3="00000000" w:csb0="00000000" w:csb1="00000000"/>
  </w:font>
  <w:font w:name="Symbol">
    <w:altName w:val="East Syriac Adiabene"/>
    <w:panose1 w:val="00000000000000000000"/>
    <w:charset w:val="02"/>
    <w:family w:val="roman"/>
    <w:pitch w:val="default"/>
    <w:sig w:usb0="00000000" w:usb1="00000000" w:usb2="00000000" w:usb3="00000000" w:csb0="00000000" w:csb1="00000000"/>
  </w:font>
  <w:font w:name="Cambria Math">
    <w:altName w:val="East Syriac Adiabene"/>
    <w:panose1 w:val="00000000000000000000"/>
    <w:charset w:val="00"/>
    <w:family w:val="roman"/>
    <w:pitch w:val="default"/>
    <w:sig w:usb0="00000000" w:usb1="00000000" w:usb2="00000000" w:usb3="00000000" w:csb0="00000000" w:csb1="00000000"/>
  </w:font>
  <w:font w:name="East Syriac Adiabene">
    <w:panose1 w:val="00000400000000000000"/>
    <w:charset w:val="00"/>
    <w:family w:val="auto"/>
    <w:pitch w:val="default"/>
    <w:sig w:usb0="00002041" w:usb1="00000000" w:usb2="00000080" w:usb3="00000000" w:csb0="00000041" w:csb1="00000000"/>
  </w:font>
  <w:font w:name="AR PL KaitiM Big5">
    <w:panose1 w:val="020B0609010101010101"/>
    <w:charset w:val="88"/>
    <w:family w:val="auto"/>
    <w:pitch w:val="default"/>
    <w:sig w:usb0="00000003" w:usb1="28880000" w:usb2="00000006" w:usb3="00000000" w:csb0="00100000" w:csb1="00000000"/>
  </w:font>
  <w:font w:name="Abyssinica SIL">
    <w:panose1 w:val="02000000000000000000"/>
    <w:charset w:val="00"/>
    <w:family w:val="auto"/>
    <w:pitch w:val="default"/>
    <w:sig w:usb0="800000EF" w:usb1="5000A04B" w:usb2="00000828" w:usb3="00000000" w:csb0="20000001" w:csb1="00000000"/>
  </w:font>
  <w:font w:name="aakar">
    <w:panose1 w:val="02000600040000000000"/>
    <w:charset w:val="00"/>
    <w:family w:val="auto"/>
    <w:pitch w:val="default"/>
    <w:sig w:usb0="80040001" w:usb1="00002000" w:usb2="00000000" w:usb3="00000000" w:csb0="20000000" w:csb1="80000000"/>
  </w:font>
  <w:font w:name="DejaVa Sans">
    <w:altName w:val="East Syriac Adiabene"/>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0" w:hRule="auto" w:wrap="auto" w:vAnchor="margin" w:hAnchor="text" w:yAlign="inline"/>
      <w:bidi w:val="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0" w:hRule="auto" w:wrap="auto" w:vAnchor="margin" w:hAnchor="text" w:yAlign="inline"/>
      <w:bidi w:val="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FE7C4AC"/>
    <w:multiLevelType w:val="multilevel"/>
    <w:tmpl w:val="BFE7C4AC"/>
    <w:lvl w:ilvl="0" w:tentative="0">
      <w:start w:val="1"/>
      <w:numFmt w:val="bullet"/>
      <w:lvlText w:val="·"/>
      <w:lvlJc w:val="left"/>
      <w:pPr>
        <w:ind w:left="720" w:hanging="360"/>
      </w:pPr>
      <w:rPr>
        <w:rFonts w:ascii="Symbol" w:hAnsi="Symbol" w:eastAsia="Symbol" w:cs="Symbol"/>
        <w:b w:val="0"/>
        <w:bCs w:val="0"/>
        <w:i w:val="0"/>
        <w:iCs w:val="0"/>
        <w:caps w:val="0"/>
        <w:smallCaps w:val="0"/>
        <w:strike w:val="0"/>
        <w:dstrike w:val="0"/>
        <w:spacing w:val="0"/>
        <w:w w:val="100"/>
        <w:kern w:val="0"/>
        <w:position w:val="0"/>
        <w:highlight w:val="none"/>
        <w:vertAlign w:val="baseline"/>
      </w:rPr>
    </w:lvl>
    <w:lvl w:ilvl="1" w:tentative="0">
      <w:start w:val="1"/>
      <w:numFmt w:val="bullet"/>
      <w:lvlText w:val="o"/>
      <w:lvlJc w:val="left"/>
      <w:pPr>
        <w:ind w:left="1440" w:hanging="360"/>
      </w:pPr>
      <w:rPr>
        <w:rFonts w:ascii="Arial Unicode MS" w:hAnsi="Arial Unicode MS" w:eastAsia="Arial Unicode MS" w:cs="Arial Unicode MS"/>
        <w:b w:val="0"/>
        <w:bCs w:val="0"/>
        <w:i w:val="0"/>
        <w:iCs w:val="0"/>
        <w:caps w:val="0"/>
        <w:smallCaps w:val="0"/>
        <w:strike w:val="0"/>
        <w:dstrike w:val="0"/>
        <w:spacing w:val="0"/>
        <w:w w:val="100"/>
        <w:kern w:val="0"/>
        <w:position w:val="0"/>
        <w:highlight w:val="none"/>
        <w:vertAlign w:val="baseline"/>
      </w:rPr>
    </w:lvl>
    <w:lvl w:ilvl="2" w:tentative="0">
      <w:start w:val="1"/>
      <w:numFmt w:val="bullet"/>
      <w:lvlText w:val="▪"/>
      <w:lvlJc w:val="left"/>
      <w:pPr>
        <w:ind w:left="2160" w:hanging="360"/>
      </w:pPr>
      <w:rPr>
        <w:rFonts w:ascii="Arial Unicode MS" w:hAnsi="Arial Unicode MS" w:eastAsia="Arial Unicode MS" w:cs="Arial Unicode MS"/>
        <w:b w:val="0"/>
        <w:bCs w:val="0"/>
        <w:i w:val="0"/>
        <w:iCs w:val="0"/>
        <w:caps w:val="0"/>
        <w:smallCaps w:val="0"/>
        <w:strike w:val="0"/>
        <w:dstrike w:val="0"/>
        <w:spacing w:val="0"/>
        <w:w w:val="100"/>
        <w:kern w:val="0"/>
        <w:position w:val="0"/>
        <w:highlight w:val="none"/>
        <w:vertAlign w:val="baseline"/>
      </w:rPr>
    </w:lvl>
    <w:lvl w:ilvl="3" w:tentative="0">
      <w:start w:val="1"/>
      <w:numFmt w:val="bullet"/>
      <w:lvlText w:val="·"/>
      <w:lvlJc w:val="left"/>
      <w:pPr>
        <w:ind w:left="2880" w:hanging="360"/>
      </w:pPr>
      <w:rPr>
        <w:rFonts w:ascii="Symbol" w:hAnsi="Symbol" w:eastAsia="Symbol" w:cs="Symbol"/>
        <w:b w:val="0"/>
        <w:bCs w:val="0"/>
        <w:i w:val="0"/>
        <w:iCs w:val="0"/>
        <w:caps w:val="0"/>
        <w:smallCaps w:val="0"/>
        <w:strike w:val="0"/>
        <w:dstrike w:val="0"/>
        <w:spacing w:val="0"/>
        <w:w w:val="100"/>
        <w:kern w:val="0"/>
        <w:position w:val="0"/>
        <w:highlight w:val="none"/>
        <w:vertAlign w:val="baseline"/>
      </w:rPr>
    </w:lvl>
    <w:lvl w:ilvl="4" w:tentative="0">
      <w:start w:val="1"/>
      <w:numFmt w:val="bullet"/>
      <w:lvlText w:val="o"/>
      <w:lvlJc w:val="left"/>
      <w:pPr>
        <w:ind w:left="3600" w:hanging="360"/>
      </w:pPr>
      <w:rPr>
        <w:rFonts w:ascii="Arial Unicode MS" w:hAnsi="Arial Unicode MS" w:eastAsia="Arial Unicode MS" w:cs="Arial Unicode MS"/>
        <w:b w:val="0"/>
        <w:bCs w:val="0"/>
        <w:i w:val="0"/>
        <w:iCs w:val="0"/>
        <w:caps w:val="0"/>
        <w:smallCaps w:val="0"/>
        <w:strike w:val="0"/>
        <w:dstrike w:val="0"/>
        <w:spacing w:val="0"/>
        <w:w w:val="100"/>
        <w:kern w:val="0"/>
        <w:position w:val="0"/>
        <w:highlight w:val="none"/>
        <w:vertAlign w:val="baseline"/>
      </w:rPr>
    </w:lvl>
    <w:lvl w:ilvl="5" w:tentative="0">
      <w:start w:val="1"/>
      <w:numFmt w:val="bullet"/>
      <w:lvlText w:val="▪"/>
      <w:lvlJc w:val="left"/>
      <w:pPr>
        <w:ind w:left="4320" w:hanging="360"/>
      </w:pPr>
      <w:rPr>
        <w:rFonts w:ascii="Arial Unicode MS" w:hAnsi="Arial Unicode MS" w:eastAsia="Arial Unicode MS" w:cs="Arial Unicode MS"/>
        <w:b w:val="0"/>
        <w:bCs w:val="0"/>
        <w:i w:val="0"/>
        <w:iCs w:val="0"/>
        <w:caps w:val="0"/>
        <w:smallCaps w:val="0"/>
        <w:strike w:val="0"/>
        <w:dstrike w:val="0"/>
        <w:spacing w:val="0"/>
        <w:w w:val="100"/>
        <w:kern w:val="0"/>
        <w:position w:val="0"/>
        <w:highlight w:val="none"/>
        <w:vertAlign w:val="baseline"/>
      </w:rPr>
    </w:lvl>
    <w:lvl w:ilvl="6" w:tentative="0">
      <w:start w:val="1"/>
      <w:numFmt w:val="bullet"/>
      <w:lvlText w:val="·"/>
      <w:lvlJc w:val="left"/>
      <w:pPr>
        <w:ind w:left="5040" w:hanging="360"/>
      </w:pPr>
      <w:rPr>
        <w:rFonts w:ascii="Symbol" w:hAnsi="Symbol" w:eastAsia="Symbol" w:cs="Symbol"/>
        <w:b w:val="0"/>
        <w:bCs w:val="0"/>
        <w:i w:val="0"/>
        <w:iCs w:val="0"/>
        <w:caps w:val="0"/>
        <w:smallCaps w:val="0"/>
        <w:strike w:val="0"/>
        <w:dstrike w:val="0"/>
        <w:spacing w:val="0"/>
        <w:w w:val="100"/>
        <w:kern w:val="0"/>
        <w:position w:val="0"/>
        <w:highlight w:val="none"/>
        <w:vertAlign w:val="baseline"/>
      </w:rPr>
    </w:lvl>
    <w:lvl w:ilvl="7" w:tentative="0">
      <w:start w:val="1"/>
      <w:numFmt w:val="bullet"/>
      <w:lvlText w:val="o"/>
      <w:lvlJc w:val="left"/>
      <w:pPr>
        <w:ind w:left="5760" w:hanging="360"/>
      </w:pPr>
      <w:rPr>
        <w:rFonts w:ascii="Arial Unicode MS" w:hAnsi="Arial Unicode MS" w:eastAsia="Arial Unicode MS" w:cs="Arial Unicode MS"/>
        <w:b w:val="0"/>
        <w:bCs w:val="0"/>
        <w:i w:val="0"/>
        <w:iCs w:val="0"/>
        <w:caps w:val="0"/>
        <w:smallCaps w:val="0"/>
        <w:strike w:val="0"/>
        <w:dstrike w:val="0"/>
        <w:spacing w:val="0"/>
        <w:w w:val="100"/>
        <w:kern w:val="0"/>
        <w:position w:val="0"/>
        <w:highlight w:val="none"/>
        <w:vertAlign w:val="baseline"/>
      </w:rPr>
    </w:lvl>
    <w:lvl w:ilvl="8" w:tentative="0">
      <w:start w:val="1"/>
      <w:numFmt w:val="bullet"/>
      <w:lvlText w:val="▪"/>
      <w:lvlJc w:val="left"/>
      <w:pPr>
        <w:ind w:left="6480" w:hanging="360"/>
      </w:pPr>
      <w:rPr>
        <w:rFonts w:ascii="Arial Unicode MS" w:hAnsi="Arial Unicode MS" w:eastAsia="Arial Unicode MS" w:cs="Arial Unicode MS"/>
        <w:b w:val="0"/>
        <w:bCs w:val="0"/>
        <w:i w:val="0"/>
        <w:iCs w:val="0"/>
        <w:caps w:val="0"/>
        <w:smallCaps w:val="0"/>
        <w:strike w:val="0"/>
        <w:dstrike w:val="0"/>
        <w:spacing w:val="0"/>
        <w:w w:val="100"/>
        <w:kern w:val="0"/>
        <w:position w:val="0"/>
        <w:highlight w:val="none"/>
        <w:vertAlign w:val="baseline"/>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Heng Chang Chen">
    <w15:presenceInfo w15:providerId="None" w15:userId="Heng Chang Chen"/>
  </w15:person>
  <w15:person w15:author="raoul">
    <w15:presenceInfo w15:providerId="None" w15:userId="raou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isplayBackgroundShape w:val="1"/>
  <w:bordersDoNotSurroundHeader w:val="0"/>
  <w:bordersDoNotSurroundFooter w:val="0"/>
  <w:documentProtection w:enforcement="0"/>
  <w:defaultTabStop w:val="720"/>
  <w:autoHyphenation/>
  <w:noLineBreaksAfter w:lang="zh-CN" w:val="‘“(〔[{〈《「『【⦅〘〖«〝︵︷︹︻︽︿﹁﹃﹇﹙﹛﹝｢"/>
  <w:noLineBreaksBefore w:lang="zh-CN" w:val="’”)〕]}〉"/>
  <w:compat>
    <w:compatSetting w:name="compatibilityMode" w:uri="http://schemas.microsoft.com/office/word" w:val="15"/>
  </w:compat>
  <w:rsids>
    <w:rsidRoot w:val="00000000"/>
    <w:rsid w:val="7FFEF38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Arial Unicode MS"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eepNext w:val="0"/>
      <w:keepLines w:val="0"/>
      <w:pageBreakBefore w:val="0"/>
      <w:framePr w:w="0" w:hRule="auto"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spacing w:before="0" w:beforeAutospacing="0" w:after="0" w:afterAutospacing="0" w:line="240" w:lineRule="auto"/>
      <w:ind w:left="0" w:right="0" w:firstLine="0"/>
      <w:jc w:val="left"/>
      <w:outlineLvl w:val="9"/>
    </w:pPr>
    <w:rPr>
      <w:rFonts w:ascii="Times New Roman" w:hAnsi="Times New Roman" w:eastAsia="Arial Unicode MS" w:cs="Times New Roman"/>
      <w:color w:val="auto"/>
      <w:spacing w:val="0"/>
      <w:w w:val="100"/>
      <w:kern w:val="0"/>
      <w:position w:val="0"/>
      <w:sz w:val="24"/>
      <w:szCs w:val="24"/>
      <w:u w:val="none" w:color="auto"/>
      <w:vertAlign w:val="baseline"/>
      <w:lang w:val="en-US" w:eastAsia="en-US" w:bidi="ar-SA"/>
    </w:rPr>
  </w:style>
  <w:style w:type="character" w:default="1" w:styleId="3">
    <w:name w:val="Default Paragraph Font"/>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annotation text"/>
    <w:basedOn w:val="1"/>
    <w:qFormat/>
    <w:uiPriority w:val="0"/>
    <w:pPr>
      <w:jc w:val="left"/>
    </w:pPr>
  </w:style>
  <w:style w:type="character" w:styleId="4">
    <w:name w:val="Hyperlink"/>
    <w:qFormat/>
    <w:uiPriority w:val="0"/>
    <w:rPr>
      <w:u w:val="single"/>
    </w:rPr>
  </w:style>
  <w:style w:type="table" w:customStyle="1" w:styleId="6">
    <w:name w:val="Table Normal1"/>
    <w:uiPriority w:val="0"/>
    <w:tblPr>
      <w:tblLayout w:type="fixed"/>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paragraph" w:customStyle="1" w:styleId="7">
    <w:name w:val="頁首與頁尾"/>
    <w:uiPriority w:val="0"/>
    <w:pPr>
      <w:keepNext w:val="0"/>
      <w:keepLines w:val="0"/>
      <w:pageBreakBefore w:val="0"/>
      <w:framePr w:w="0" w:hRule="auto"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tabs>
        <w:tab w:val="right" w:pos="9020"/>
      </w:tabs>
      <w:suppressAutoHyphens w:val="0"/>
      <w:bidi w:val="0"/>
      <w:spacing w:before="0" w:beforeAutospacing="0" w:after="0" w:afterAutospacing="0" w:line="240" w:lineRule="auto"/>
      <w:ind w:left="0" w:right="0" w:firstLine="0"/>
      <w:jc w:val="left"/>
      <w:outlineLvl w:val="9"/>
    </w:pPr>
    <w:rPr>
      <w:rFonts w:ascii="Helvetica Neue" w:hAnsi="Helvetica Neue" w:eastAsia="Arial Unicode MS" w:cs="Arial Unicode MS"/>
      <w:color w:val="000000"/>
      <w:spacing w:val="0"/>
      <w:w w:val="100"/>
      <w:kern w:val="0"/>
      <w:position w:val="0"/>
      <w:sz w:val="24"/>
      <w:szCs w:val="24"/>
      <w:u w:val="none" w:color="auto"/>
      <w:vertAlign w:val="baseline"/>
    </w:rPr>
  </w:style>
  <w:style w:type="paragraph" w:customStyle="1" w:styleId="8">
    <w:name w:val="內文"/>
    <w:qFormat/>
    <w:uiPriority w:val="0"/>
    <w:pPr>
      <w:keepNext w:val="0"/>
      <w:keepLines w:val="0"/>
      <w:pageBreakBefore w:val="0"/>
      <w:framePr w:w="0" w:hRule="auto"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bidi w:val="0"/>
      <w:spacing w:before="0" w:beforeAutospacing="0" w:after="200" w:afterAutospacing="0" w:line="276" w:lineRule="auto"/>
      <w:ind w:left="0" w:right="0" w:firstLine="0"/>
      <w:jc w:val="both"/>
      <w:outlineLvl w:val="9"/>
    </w:pPr>
    <w:rPr>
      <w:rFonts w:ascii="Calibri" w:hAnsi="Calibri" w:eastAsia="Calibri" w:cs="Calibri"/>
      <w:color w:val="000000"/>
      <w:spacing w:val="0"/>
      <w:w w:val="100"/>
      <w:kern w:val="0"/>
      <w:position w:val="0"/>
      <w:sz w:val="22"/>
      <w:szCs w:val="22"/>
      <w:u w:val="none" w:color="000000"/>
      <w:vertAlign w:val="baseline"/>
      <w:lang w:val="en-US"/>
    </w:rPr>
  </w:style>
  <w:style w:type="paragraph" w:customStyle="1" w:styleId="9">
    <w:name w:val="預設值"/>
    <w:uiPriority w:val="0"/>
    <w:pPr>
      <w:keepNext w:val="0"/>
      <w:keepLines w:val="0"/>
      <w:pageBreakBefore w:val="0"/>
      <w:framePr w:w="0" w:hRule="auto"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left"/>
      <w:outlineLvl w:val="9"/>
    </w:pPr>
    <w:rPr>
      <w:rFonts w:ascii="Helvetica Neue" w:hAnsi="Helvetica Neue" w:eastAsia="Helvetica Neue" w:cs="Helvetica Neue"/>
      <w:color w:val="000000"/>
      <w:spacing w:val="0"/>
      <w:w w:val="100"/>
      <w:kern w:val="0"/>
      <w:position w:val="0"/>
      <w:sz w:val="22"/>
      <w:szCs w:val="22"/>
      <w:u w:val="none" w:color="auto"/>
      <w:vertAlign w:val="baseline"/>
    </w:rPr>
  </w:style>
  <w:style w:type="paragraph" w:styleId="10">
    <w:name w:val="List Paragraph"/>
    <w:qFormat/>
    <w:uiPriority w:val="0"/>
    <w:pPr>
      <w:keepNext w:val="0"/>
      <w:keepLines w:val="0"/>
      <w:pageBreakBefore w:val="0"/>
      <w:framePr w:w="0" w:hRule="auto"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bidi w:val="0"/>
      <w:spacing w:before="0" w:beforeAutospacing="0" w:after="200" w:afterAutospacing="0" w:line="276" w:lineRule="auto"/>
      <w:ind w:left="720" w:right="0" w:firstLine="0"/>
      <w:jc w:val="both"/>
      <w:outlineLvl w:val="9"/>
    </w:pPr>
    <w:rPr>
      <w:rFonts w:ascii="Calibri" w:hAnsi="Calibri" w:eastAsia="Calibri" w:cs="Calibri"/>
      <w:color w:val="000000"/>
      <w:spacing w:val="0"/>
      <w:w w:val="100"/>
      <w:kern w:val="0"/>
      <w:position w:val="0"/>
      <w:sz w:val="22"/>
      <w:szCs w:val="22"/>
      <w:u w:val="none" w:color="000000"/>
      <w:vertAlign w:val="baseline"/>
      <w:lang w:val="en-US"/>
    </w:rPr>
  </w:style>
  <w:style w:type="paragraph" w:customStyle="1" w:styleId="11">
    <w:name w:val="標題"/>
    <w:next w:val="8"/>
    <w:qFormat/>
    <w:uiPriority w:val="0"/>
    <w:pPr>
      <w:keepNext w:val="0"/>
      <w:keepLines w:val="0"/>
      <w:pageBreakBefore w:val="0"/>
      <w:framePr w:w="0" w:hRule="auto"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bidi w:val="0"/>
      <w:spacing w:before="0" w:beforeAutospacing="0" w:after="200" w:afterAutospacing="0" w:line="276" w:lineRule="auto"/>
      <w:ind w:left="0" w:right="0" w:firstLine="0"/>
      <w:jc w:val="both"/>
      <w:outlineLvl w:val="0"/>
    </w:pPr>
    <w:rPr>
      <w:rFonts w:ascii="Calibri" w:hAnsi="Calibri" w:eastAsia="Calibri" w:cs="Calibri"/>
      <w:b/>
      <w:bCs/>
      <w:color w:val="000000"/>
      <w:spacing w:val="0"/>
      <w:w w:val="100"/>
      <w:kern w:val="0"/>
      <w:position w:val="0"/>
      <w:sz w:val="22"/>
      <w:szCs w:val="22"/>
      <w:u w:val="none" w:color="000000"/>
      <w:vertAlign w:val="baseline"/>
      <w:lang w:val="en-US"/>
    </w:rPr>
  </w:style>
  <w:style w:type="character" w:customStyle="1" w:styleId="12">
    <w:name w:val="Hyperlink.0"/>
    <w:basedOn w:val="4"/>
    <w:uiPriority w:val="0"/>
    <w:rPr>
      <w:color w:val="0000FF"/>
      <w:u w:val="single" w:color="0000FF"/>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1" Type="http://schemas.microsoft.com/office/2011/relationships/people" Target="people.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Thème Office">
  <a:themeElements>
    <a:clrScheme name="Thème 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Thème Office">
      <a:majorFont>
        <a:latin typeface="Helvetica Neue"/>
        <a:ea typeface="Helvetica Neue"/>
        <a:cs typeface="Helvetica Neue"/>
      </a:majorFont>
      <a:minorFont>
        <a:latin typeface="Helvetica Neue"/>
        <a:ea typeface="Helvetica Neue"/>
        <a:cs typeface="Helvetica Neue"/>
      </a:minorFont>
    </a:fontScheme>
    <a:fmtScheme name="Thème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Pr>
      <a:bodyPr rot="0" spcFirstLastPara="1" vertOverflow="overflow" horzOverflow="overflow" vert="horz" wrap="square" lIns="45719" tIns="45719" rIns="45719" bIns="45719" numCol="1" spcCol="38100" rtlCol="0" anchor="ctr" upright="0">
        <a:spAutoFit/>
      </a:bodyPr>
      <a:lstStyle/>
      <a:style>
        <a:lnRef idx="0">
          <a:srgbClr val="FFFFFF"/>
        </a:lnRef>
        <a:fillRef idx="0">
          <a:srgbClr val="FFFFFF"/>
        </a:fillRef>
        <a:effectRef idx="0">
          <a:srgbClr val="FFFFFF"/>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Pr>
      <a:bodyPr rot="0" spcFirstLastPara="1" vertOverflow="overflow" horzOverflow="overflow" vert="horz" wrap="square" lIns="91439" tIns="45719" rIns="91439" bIns="45719" numCol="1" spcCol="38100" rtlCol="0" anchor="t" upright="0">
        <a:noAutofit/>
      </a:bodyPr>
      <a:lstStyle/>
      <a:style>
        <a:lnRef idx="0">
          <a:srgbClr val="FFFFFF"/>
        </a:lnRef>
        <a:fillRef idx="0">
          <a:srgbClr val="FFFFFF"/>
        </a:fillRef>
        <a:effectRef idx="0">
          <a:srgbClr val="FFFFFF"/>
        </a:effectRef>
        <a:fontRef idx="none"/>
      </a:style>
    </a:lnDef>
    <a:txDef>
      <a:spPr>
        <a:noFill/>
        <a:ln w="12700" cap="flat">
          <a:noFill/>
          <a:miter lim="400000"/>
        </a:ln>
      </a:spPr>
      <a:bodyPr rot="0" spcFirstLastPara="1" vertOverflow="overflow" horzOverflow="overflow" vert="horz" wrap="square" lIns="45719" tIns="45719" rIns="45719" bIns="45719" numCol="1" spcCol="38100" rtlCol="0" anchor="t" upright="0">
        <a:spAutoFit/>
      </a:bodyPr>
      <a:lstStyle/>
      <a:style>
        <a:lnRef idx="0">
          <a:srgbClr val="FFFFFF"/>
        </a:lnRef>
        <a:fillRef idx="0">
          <a:srgbClr val="FFFFFF"/>
        </a:fillRef>
        <a:effectRef idx="0">
          <a:srgbClr val="FFFFFF"/>
        </a:effectRef>
        <a:fontRef idx="none"/>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Office_11.1.0.8722_F1E327BC-269C-435d-A152-05C5408002CA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2022-11-02T17:01:51Z</dcterms:created>
  <dc:creator>raoul</dc:creator>
  <cp:lastModifiedBy>raoul</cp:lastModifiedBy>
  <dcterms:modified xsi:type="dcterms:W3CDTF">2022-11-02T17:28:32Z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1033-11.1.0.8722</vt:lpwstr>
  </property>
</Properties>
</file>