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49C41"/>
    <w:p w14:paraId="2A5CE268"/>
    <w:p w14:paraId="38CAB014">
      <w:r>
        <w:t>{quotationId}</w:t>
      </w:r>
    </w:p>
    <w:p w14:paraId="1EDECA3C">
      <w:r>
        <w:t>Date :</w:t>
        <w:tab/>
        <w:t>{date}</w:t>
      </w:r>
    </w:p>
    <w:p w14:paraId="4CDFFEF2"/>
    <w:p w14:paraId="4D01CB41">
      <w:r>
        <w:t>Company Name  : {companyName}</w:t>
      </w:r>
    </w:p>
    <w:p w14:paraId="02B1AA7B">
      <w:pPr>
        <w:rPr>
          <w:rFonts w:cs="Times New Roman"/>
          <w:sz w:val="22"/>
          <w:szCs w:val="22"/>
        </w:rPr>
      </w:pPr>
      <w:r>
        <w:rPr>
          <w:rFonts w:cs="Times New Roman"/>
          <w:sz w:val="22"/>
          <w:szCs w:val="22"/>
        </w:rPr>
        <w:t>Company Address : {companyAddress}</w:t>
      </w:r>
      <w:r>
        <w:t xml:space="preserve"> </w:t>
      </w:r>
    </w:p>
    <w:p w14:paraId="6070DC65">
      <w:pPr>
        <w:rPr>
          <w:rFonts w:cs="Times New Roman"/>
          <w:sz w:val="22"/>
          <w:szCs w:val="22"/>
        </w:rPr>
      </w:pPr>
    </w:p>
    <w:p w14:paraId="2C810FE0">
      <w:pPr>
        <w:rPr>
          <w:rFonts w:cs="Times New Roman"/>
          <w:sz w:val="22"/>
          <w:szCs w:val="22"/>
        </w:rPr>
      </w:pPr>
      <w:r>
        <w:rPr>
          <w:rFonts w:cs="Times New Roman"/>
          <w:sz w:val="22"/>
          <w:szCs w:val="22"/>
        </w:rPr>
        <w:t>Attn  : {contactName}</w:t>
      </w:r>
      <w:r>
        <w:t xml:space="preserve"> </w:t>
      </w:r>
    </w:p>
    <w:p w14:paraId="750FA8AC">
      <w:pPr>
        <w:rPr>
          <w:rFonts w:cs="Times New Roman"/>
          <w:sz w:val="22"/>
          <w:szCs w:val="22"/>
        </w:rPr>
      </w:pPr>
      <w:r>
        <w:rPr>
          <w:rFonts w:cs="Times New Roman"/>
          <w:sz w:val="22"/>
          <w:szCs w:val="22"/>
        </w:rPr>
        <w:t>Ref# : {reference}</w:t>
      </w:r>
    </w:p>
    <w:p w14:paraId="011269E5">
      <w:pPr>
        <w:rPr>
          <w:rFonts w:cs="Times New Roman"/>
          <w:sz w:val="22"/>
          <w:szCs w:val="22"/>
        </w:rPr>
      </w:pPr>
    </w:p>
    <w:p w14:paraId="5EF383ED">
      <w:pPr>
        <w:rPr>
          <w:sz w:val="22"/>
          <w:szCs w:val="22"/>
        </w:rPr>
      </w:pPr>
      <w:r>
        <w:rPr>
          <w:sz w:val="22"/>
          <w:szCs w:val="22"/>
        </w:rPr>
        <w:t>Re:</w:t>
        <w:tab/>
        <w:t xml:space="preserve"> </w:t>
      </w:r>
    </w:p>
    <w:p w14:paraId="0315658D">
      <w:pPr>
        <w:rPr>
          <w:sz w:val="16"/>
          <w:szCs w:val="16"/>
        </w:rPr>
      </w:pPr>
    </w:p>
    <w:p w14:paraId="62EAC32D">
      <w:pPr>
        <w:rPr>
          <w:sz w:val="22"/>
          <w:szCs w:val="22"/>
        </w:rPr>
      </w:pPr>
      <w:r>
        <w:rPr>
          <w:sz w:val="22"/>
          <w:szCs w:val="22"/>
        </w:rPr>
        <w:t>Dear Sir/Madam:</w:t>
      </w:r>
    </w:p>
    <w:p w14:paraId="0433B25B">
      <w:pPr>
        <w:ind w:right="0" w:firstLine="720"/>
        <w:jc w:val="both"/>
        <w:rPr>
          <w:sz w:val="22"/>
          <w:szCs w:val="22"/>
        </w:rPr>
      </w:pPr>
    </w:p>
    <w:p w14:paraId="59BC2247">
      <w:pPr>
        <w:ind w:right="0" w:firstLine="720"/>
        <w:jc w:val="both"/>
        <w:rPr>
          <w:sz w:val="16"/>
          <w:szCs w:val="16"/>
        </w:rPr>
      </w:pPr>
    </w:p>
    <w:p w14:paraId="0922EA52">
      <w:pPr>
        <w:ind w:right="0" w:firstLine="720"/>
        <w:jc w:val="both"/>
        <w:rPr>
          <w:sz w:val="22"/>
          <w:szCs w:val="22"/>
        </w:rPr>
      </w:pPr>
      <w:r>
        <w:rPr>
          <w:rFonts w:cs="Times New Roman"/>
          <w:sz w:val="22"/>
          <w:szCs w:val="22"/>
        </w:rPr>
        <w:t xml:space="preserve"> </w:t>
      </w:r>
      <w:r>
        <w:rPr>
          <w:sz w:val="22"/>
          <w:szCs w:val="22"/>
        </w:rPr>
        <w:t>With regards to your inquiry, we would like to give you our quotation as follows:</w:t>
      </w:r>
    </w:p>
    <w:p w14:paraId="1F85B6C5">
      <w:pPr>
        <w:jc w:val="both"/>
        <w:rPr>
          <w:sz w:val="16"/>
          <w:szCs w:val="16"/>
        </w:rPr>
      </w:pPr>
    </w:p>
    <w:p w14:paraId="075EC208">
      <w:pPr>
        <w:jc w:val="both"/>
        <w:rPr>
          <w:sz w:val="22"/>
          <w:szCs w:val="22"/>
        </w:rPr>
      </w:pPr>
      <w:r>
        <w:rPr>
          <w:sz w:val="22"/>
          <w:szCs w:val="22"/>
        </w:rPr>
        <w:t>CALIBRATION OF:</w:t>
      </w:r>
    </w:p>
    <w:tbl>
      <w:tblPr>
        <w:tblStyle w:val="7"/>
        <w:tblW w:w="9720" w:type="dxa"/>
        <w:tblInd w:w="108" w:type="dxa"/>
        <w:tblLayout w:type="fixed"/>
        <w:tblCellMar>
          <w:top w:w="0" w:type="dxa"/>
          <w:left w:w="108" w:type="dxa"/>
          <w:bottom w:w="0" w:type="dxa"/>
          <w:right w:w="108" w:type="dxa"/>
        </w:tblCellMar>
      </w:tblPr>
      <w:tblGrid>
        <w:gridCol w:w="914"/>
        <w:gridCol w:w="6556"/>
        <w:gridCol w:w="2250"/>
      </w:tblGrid>
      <w:tr w14:paraId="20B08149">
        <w:tblPrEx>
          <w:tblCellMar>
            <w:top w:w="0" w:type="dxa"/>
            <w:left w:w="108" w:type="dxa"/>
            <w:bottom w:w="0" w:type="dxa"/>
            <w:right w:w="108" w:type="dxa"/>
          </w:tblCellMar>
        </w:tblPrEx>
        <w:trPr>
          <w:trHeight w:val="274" w:hRule="atLeast"/>
        </w:trPr>
        <w:tc>
          <w:tcPr>
            <w:tcW w:w="914" w:type="dxa"/>
            <w:tcBorders>
              <w:top w:val="single" w:color="000000" w:sz="4" w:space="0"/>
              <w:left w:val="single" w:color="000000" w:sz="4" w:space="0"/>
              <w:bottom w:val="single" w:color="000000" w:sz="4" w:space="0"/>
            </w:tcBorders>
          </w:tcPr>
          <w:p w14:paraId="1A00FB71">
            <w:pPr>
              <w:pStyle w:val="4"/>
              <w:keepNext/>
              <w:snapToGrid w:val="0"/>
              <w:spacing w:before="0" w:after="0"/>
              <w:ind w:left="1152" w:right="0" w:hanging="1152"/>
              <w:jc w:val="center"/>
              <w:rPr>
                <w:b w:val="0"/>
              </w:rPr>
            </w:pPr>
            <w:r>
              <w:rPr>
                <w:b w:val="0"/>
              </w:rPr>
              <w:t>ITEM#</w:t>
            </w:r>
          </w:p>
        </w:tc>
        <w:tc>
          <w:tcPr>
            <w:tcW w:w="6556" w:type="dxa"/>
            <w:tcBorders>
              <w:top w:val="single" w:color="000000" w:sz="4" w:space="0"/>
              <w:left w:val="single" w:color="000000" w:sz="4" w:space="0"/>
              <w:bottom w:val="single" w:color="000000" w:sz="4" w:space="0"/>
            </w:tcBorders>
          </w:tcPr>
          <w:p w14:paraId="64F85461">
            <w:pPr>
              <w:pStyle w:val="4"/>
              <w:keepNext/>
              <w:snapToGrid w:val="0"/>
              <w:spacing w:before="0" w:after="0"/>
              <w:ind w:left="1152" w:right="0" w:hanging="1152"/>
              <w:jc w:val="center"/>
              <w:rPr>
                <w:b w:val="0"/>
              </w:rPr>
            </w:pPr>
            <w:r>
              <w:rPr>
                <w:b w:val="0"/>
              </w:rPr>
              <w:t>INSTRUMENTS</w:t>
            </w:r>
          </w:p>
        </w:tc>
        <w:tc>
          <w:tcPr>
            <w:tcW w:w="2250" w:type="dxa"/>
            <w:tcBorders>
              <w:top w:val="single" w:color="000000" w:sz="4" w:space="0"/>
              <w:left w:val="single" w:color="000000" w:sz="4" w:space="0"/>
              <w:bottom w:val="single" w:color="000000" w:sz="4" w:space="0"/>
              <w:right w:val="single" w:color="000000" w:sz="4" w:space="0"/>
            </w:tcBorders>
          </w:tcPr>
          <w:p w14:paraId="73333279">
            <w:pPr>
              <w:snapToGrid w:val="0"/>
              <w:jc w:val="center"/>
              <w:rPr>
                <w:sz w:val="22"/>
                <w:szCs w:val="22"/>
              </w:rPr>
            </w:pPr>
            <w:r>
              <w:rPr>
                <w:sz w:val="22"/>
                <w:szCs w:val="22"/>
              </w:rPr>
              <w:t>UNIT PRICE</w:t>
            </w:r>
          </w:p>
        </w:tc>
      </w:tr>
      <w:tr w14:paraId="5E8C5A00">
        <w:tblPrEx>
          <w:tblCellMar>
            <w:top w:w="0" w:type="dxa"/>
            <w:left w:w="108" w:type="dxa"/>
            <w:bottom w:w="0" w:type="dxa"/>
            <w:right w:w="108" w:type="dxa"/>
          </w:tblCellMar>
        </w:tblPrEx>
        <w:trPr>
          <w:trHeight w:val="274" w:hRule="atLeast"/>
        </w:trPr>
        <w:tc>
          <w:tcPr>
            <w:tcW w:w="914" w:type="dxa"/>
            <w:tcBorders>
              <w:top w:val="single" w:color="000000" w:sz="4" w:space="0"/>
              <w:left w:val="single" w:color="000000" w:sz="4" w:space="0"/>
              <w:bottom w:val="single" w:color="000000" w:sz="4" w:space="0"/>
            </w:tcBorders>
          </w:tcPr>
          <w:p w14:paraId="33A973A9">
            <w:pPr>
              <w:pStyle w:val="4"/>
              <w:keepNext/>
              <w:snapToGrid w:val="0"/>
              <w:spacing w:before="0" w:after="0"/>
              <w:ind w:left="1152" w:right="0" w:hanging="1152"/>
              <w:jc w:val="center"/>
              <w:rPr>
                <w:b w:val="0"/>
                <w:lang w:val="en-US"/>
              </w:rPr>
            </w:pPr>
            <w:r>
              <w:rPr>
                <w:b w:val="0"/>
                <w:lang w:val="en-US"/>
              </w:rPr>
              <w:t>1</w:t>
            </w:r>
          </w:p>
        </w:tc>
        <w:tc>
          <w:tcPr>
            <w:tcW w:w="6556" w:type="dxa"/>
            <w:tcBorders>
              <w:top w:val="single" w:color="000000" w:sz="4" w:space="0"/>
              <w:left w:val="single" w:color="000000" w:sz="4" w:space="0"/>
              <w:bottom w:val="single" w:color="000000" w:sz="4" w:space="0"/>
            </w:tcBorders>
          </w:tcPr>
          <w:p w14:paraId="15C0A498">
            <w:pPr>
              <w:pStyle w:val="4"/>
              <w:keepNext/>
              <w:snapToGrid w:val="0"/>
              <w:spacing w:before="0" w:after="0"/>
              <w:ind w:left="1152" w:right="0" w:hanging="1152"/>
              <w:rPr>
                <w:b w:val="0"/>
              </w:rPr>
            </w:pPr>
            <w:r>
              <w:rPr>
                <w:b w:val="0"/>
              </w:rPr>
              <w:t xml:space="preserve">                                                                                                                                                                                                                                                                                                                                                                                 </w:t>
            </w:r>
          </w:p>
        </w:tc>
        <w:tc>
          <w:tcPr>
            <w:tcW w:w="2250" w:type="dxa"/>
            <w:tcBorders>
              <w:top w:val="single" w:color="000000" w:sz="4" w:space="0"/>
              <w:left w:val="single" w:color="000000" w:sz="4" w:space="0"/>
              <w:bottom w:val="single" w:color="000000" w:sz="4" w:space="0"/>
              <w:right w:val="single" w:color="000000" w:sz="4" w:space="0"/>
            </w:tcBorders>
          </w:tcPr>
          <w:p w14:paraId="2DC38133">
            <w:pPr>
              <w:snapToGrid w:val="0"/>
              <w:jc w:val="right"/>
              <w:rPr>
                <w:b w:val="0"/>
                <w:sz w:val="22"/>
                <w:szCs w:val="22"/>
              </w:rPr>
            </w:pPr>
          </w:p>
          <w:p w14:paraId="685FA8E1">
            <w:pPr>
              <w:snapToGrid w:val="0"/>
              <w:rPr>
                <w:sz w:val="22"/>
                <w:szCs w:val="22"/>
              </w:rPr>
            </w:pPr>
          </w:p>
          <w:p w14:paraId="7577541D">
            <w:pPr>
              <w:snapToGrid w:val="0"/>
              <w:rPr>
                <w:sz w:val="22"/>
                <w:szCs w:val="22"/>
              </w:rPr>
            </w:pPr>
          </w:p>
          <w:p w14:paraId="30FA29A9">
            <w:pPr>
              <w:snapToGrid w:val="0"/>
              <w:jc w:val="right"/>
              <w:rPr>
                <w:sz w:val="22"/>
                <w:szCs w:val="22"/>
              </w:rPr>
            </w:pPr>
          </w:p>
        </w:tc>
      </w:tr>
    </w:tbl>
    <w:p w14:paraId="3C1E5734"/>
    <w:p w14:paraId="226C493B">
      <w:pPr>
        <w:rPr>
          <w:sz w:val="22"/>
          <w:szCs w:val="22"/>
        </w:rPr>
      </w:pPr>
      <w:r>
        <w:rPr>
          <w:rFonts w:cs="Times New Roman"/>
          <w:sz w:val="22"/>
          <w:szCs w:val="22"/>
        </w:rPr>
        <w:t xml:space="preserve"> </w:t>
      </w:r>
      <w:r>
        <w:rPr>
          <w:sz w:val="22"/>
          <w:szCs w:val="22"/>
        </w:rPr>
        <w:t xml:space="preserve">NOTE:  1.  Normal Turn-around time: </w:t>
      </w:r>
      <w:r>
        <w:rPr>
          <w:b/>
          <w:sz w:val="22"/>
          <w:szCs w:val="22"/>
        </w:rPr>
        <w:t>10 - 15 working days.</w:t>
      </w:r>
      <w:r>
        <w:rPr>
          <w:sz w:val="22"/>
          <w:szCs w:val="22"/>
        </w:rPr>
        <w:t xml:space="preserve">  </w:t>
      </w:r>
    </w:p>
    <w:p w14:paraId="0E2026EC">
      <w:pPr>
        <w:jc w:val="both"/>
        <w:rPr>
          <w:sz w:val="22"/>
          <w:szCs w:val="22"/>
        </w:rPr>
      </w:pPr>
      <w:r>
        <w:rPr>
          <w:rFonts w:cs="Times New Roman"/>
          <w:sz w:val="22"/>
          <w:szCs w:val="22"/>
        </w:rPr>
        <w:t xml:space="preserve">               </w:t>
      </w:r>
      <w:r>
        <w:rPr>
          <w:sz w:val="22"/>
          <w:szCs w:val="22"/>
        </w:rPr>
        <w:t xml:space="preserve">2. Rush calibration </w:t>
      </w:r>
      <w:r>
        <w:rPr>
          <w:b/>
          <w:sz w:val="22"/>
          <w:szCs w:val="22"/>
        </w:rPr>
        <w:t>(additional 40% rush charge) 2 – 3 working days</w:t>
      </w:r>
      <w:r>
        <w:rPr>
          <w:sz w:val="22"/>
          <w:szCs w:val="22"/>
        </w:rPr>
        <w:t xml:space="preserve"> (subject for   schedule,  availability of technician and standard instrument).</w:t>
      </w:r>
    </w:p>
    <w:p w14:paraId="74C18A91">
      <w:pPr>
        <w:ind w:right="0" w:firstLine="720"/>
        <w:jc w:val="both"/>
        <w:rPr>
          <w:b/>
          <w:sz w:val="22"/>
          <w:szCs w:val="22"/>
        </w:rPr>
      </w:pPr>
      <w:r>
        <w:rPr>
          <w:rFonts w:cs="Times New Roman"/>
          <w:sz w:val="22"/>
          <w:szCs w:val="22"/>
        </w:rPr>
        <w:t xml:space="preserve"> </w:t>
      </w:r>
      <w:r>
        <w:rPr>
          <w:sz w:val="22"/>
          <w:szCs w:val="22"/>
        </w:rPr>
        <w:t xml:space="preserve">3.  </w:t>
      </w:r>
      <w:r>
        <w:rPr>
          <w:b/>
          <w:sz w:val="22"/>
          <w:szCs w:val="22"/>
        </w:rPr>
        <w:t>(Optional). We also offer pick-up and delivery services. For details, you may contact us.</w:t>
      </w:r>
    </w:p>
    <w:p w14:paraId="22B16E01">
      <w:pPr>
        <w:rPr>
          <w:b/>
          <w:sz w:val="22"/>
          <w:szCs w:val="22"/>
        </w:rPr>
      </w:pPr>
    </w:p>
    <w:p w14:paraId="532D629C">
      <w:pPr>
        <w:pStyle w:val="2"/>
        <w:tabs>
          <w:tab w:val="clear" w:pos="0"/>
        </w:tabs>
        <w:ind w:left="0" w:right="0" w:firstLine="0"/>
        <w:rPr>
          <w:sz w:val="22"/>
          <w:szCs w:val="22"/>
        </w:rPr>
      </w:pPr>
      <w:r>
        <w:rPr>
          <w:sz w:val="22"/>
          <w:szCs w:val="22"/>
        </w:rPr>
        <w:t xml:space="preserve">CONDITIONS OF CALIBRATION </w:t>
      </w:r>
    </w:p>
    <w:p w14:paraId="55F5C58D">
      <w:pPr>
        <w:rPr>
          <w:rFonts w:cs="Times New Roman"/>
          <w:sz w:val="22"/>
          <w:szCs w:val="22"/>
        </w:rPr>
      </w:pPr>
      <w:r>
        <w:rPr>
          <w:rFonts w:cs="Times New Roman"/>
          <w:sz w:val="22"/>
          <w:szCs w:val="22"/>
        </w:rPr>
        <w:t>*The customer agrees wherever applicable*</w:t>
      </w:r>
    </w:p>
    <w:p w14:paraId="0CFAD610">
      <w:pPr>
        <w:pStyle w:val="10"/>
        <w:numPr>
          <w:ilvl w:val="0"/>
          <w:numId w:val="2"/>
        </w:numPr>
        <w:tabs>
          <w:tab w:val="left" w:pos="420"/>
          <w:tab w:val="left" w:pos="495"/>
        </w:tabs>
        <w:rPr>
          <w:sz w:val="22"/>
          <w:szCs w:val="22"/>
        </w:rPr>
      </w:pPr>
      <w:r>
        <w:rPr>
          <w:sz w:val="22"/>
          <w:szCs w:val="22"/>
        </w:rPr>
        <w:t xml:space="preserve">That the calibration will be done </w:t>
      </w:r>
      <w:r>
        <w:rPr>
          <w:b/>
          <w:sz w:val="22"/>
          <w:szCs w:val="22"/>
        </w:rPr>
        <w:t>In – House</w:t>
      </w:r>
      <w:r>
        <w:rPr>
          <w:sz w:val="22"/>
          <w:szCs w:val="22"/>
        </w:rPr>
        <w:t xml:space="preserve"> (</w:t>
      </w:r>
      <w:r>
        <w:rPr>
          <w:b/>
          <w:sz w:val="22"/>
          <w:szCs w:val="22"/>
        </w:rPr>
        <w:t>SSSI LAB</w:t>
      </w:r>
      <w:r>
        <w:rPr>
          <w:sz w:val="22"/>
          <w:szCs w:val="22"/>
        </w:rPr>
        <w:t>).</w:t>
      </w:r>
    </w:p>
    <w:p w14:paraId="632BFF7C">
      <w:pPr>
        <w:pStyle w:val="10"/>
        <w:numPr>
          <w:ilvl w:val="0"/>
          <w:numId w:val="3"/>
        </w:numPr>
        <w:tabs>
          <w:tab w:val="left" w:pos="0"/>
          <w:tab w:val="left" w:pos="420"/>
          <w:tab w:val="left" w:pos="495"/>
        </w:tabs>
        <w:rPr>
          <w:sz w:val="22"/>
          <w:szCs w:val="22"/>
        </w:rPr>
      </w:pPr>
      <w:r>
        <w:rPr>
          <w:sz w:val="22"/>
          <w:szCs w:val="22"/>
        </w:rPr>
        <w:t>That the customer will ensure that the instruments are in good working condition prior to its calibration.</w:t>
      </w:r>
    </w:p>
    <w:p w14:paraId="19B43688">
      <w:pPr>
        <w:pStyle w:val="10"/>
        <w:numPr>
          <w:ilvl w:val="0"/>
          <w:numId w:val="3"/>
        </w:numPr>
        <w:tabs>
          <w:tab w:val="left" w:pos="0"/>
          <w:tab w:val="left" w:pos="420"/>
          <w:tab w:val="left" w:pos="495"/>
        </w:tabs>
        <w:rPr>
          <w:sz w:val="22"/>
          <w:szCs w:val="22"/>
        </w:rPr>
      </w:pPr>
      <w:r>
        <w:rPr>
          <w:sz w:val="22"/>
          <w:szCs w:val="22"/>
        </w:rPr>
        <w:t>That the customer will provide instrument manual and dummy loads, if necessary.</w:t>
      </w:r>
    </w:p>
    <w:p w14:paraId="441E77E4">
      <w:pPr>
        <w:pStyle w:val="10"/>
        <w:numPr>
          <w:ilvl w:val="0"/>
          <w:numId w:val="3"/>
        </w:numPr>
        <w:tabs>
          <w:tab w:val="left" w:pos="0"/>
          <w:tab w:val="left" w:pos="420"/>
          <w:tab w:val="left" w:pos="495"/>
        </w:tabs>
        <w:rPr>
          <w:sz w:val="22"/>
          <w:szCs w:val="22"/>
        </w:rPr>
      </w:pPr>
      <w:r>
        <w:rPr>
          <w:sz w:val="22"/>
          <w:szCs w:val="22"/>
        </w:rPr>
        <w:t xml:space="preserve">The Calibration of Scientific Standard Services Inc. does not include adjustment or repair of the instruments. </w:t>
      </w:r>
    </w:p>
    <w:p w14:paraId="6EFBDB58">
      <w:pPr>
        <w:pStyle w:val="10"/>
        <w:numPr>
          <w:ilvl w:val="0"/>
          <w:numId w:val="3"/>
        </w:numPr>
        <w:tabs>
          <w:tab w:val="left" w:pos="0"/>
          <w:tab w:val="left" w:pos="420"/>
          <w:tab w:val="left" w:pos="495"/>
        </w:tabs>
        <w:rPr>
          <w:sz w:val="22"/>
          <w:szCs w:val="22"/>
        </w:rPr>
      </w:pPr>
      <w:r>
        <w:rPr>
          <w:sz w:val="22"/>
          <w:szCs w:val="22"/>
        </w:rPr>
        <w:t>The customer will provide the necessary information, manpower and other means if adjustment is necessary.</w:t>
      </w:r>
    </w:p>
    <w:p w14:paraId="680A06A5">
      <w:pPr>
        <w:pStyle w:val="10"/>
        <w:numPr>
          <w:ilvl w:val="0"/>
          <w:numId w:val="3"/>
        </w:numPr>
        <w:tabs>
          <w:tab w:val="left" w:pos="0"/>
          <w:tab w:val="left" w:pos="420"/>
          <w:tab w:val="left" w:pos="495"/>
        </w:tabs>
        <w:rPr>
          <w:sz w:val="22"/>
          <w:szCs w:val="22"/>
        </w:rPr>
      </w:pPr>
      <w:r>
        <w:rPr>
          <w:sz w:val="22"/>
          <w:szCs w:val="22"/>
        </w:rPr>
        <w:t>That the pick-up and delivery of instruments for In – House calibration will be shouldered by the customer.</w:t>
      </w:r>
    </w:p>
    <w:p w14:paraId="2B527D7B">
      <w:pPr>
        <w:pStyle w:val="10"/>
        <w:numPr>
          <w:ilvl w:val="0"/>
          <w:numId w:val="3"/>
        </w:numPr>
        <w:tabs>
          <w:tab w:val="left" w:pos="0"/>
          <w:tab w:val="left" w:pos="420"/>
          <w:tab w:val="left" w:pos="495"/>
        </w:tabs>
        <w:rPr>
          <w:sz w:val="22"/>
          <w:szCs w:val="22"/>
        </w:rPr>
      </w:pPr>
      <w:r>
        <w:rPr>
          <w:sz w:val="22"/>
          <w:szCs w:val="22"/>
        </w:rPr>
        <w:t>That the customer agrees to the calibration procedure and traceability of Scientific Standard Services Inc</w:t>
      </w:r>
      <w:r>
        <w:rPr>
          <w:sz w:val="22"/>
          <w:szCs w:val="22"/>
          <w:lang w:val="en-US"/>
        </w:rPr>
        <w:t>.</w:t>
      </w:r>
    </w:p>
    <w:p w14:paraId="5D5A0B71">
      <w:pPr>
        <w:pStyle w:val="10"/>
        <w:tabs>
          <w:tab w:val="left" w:pos="495"/>
        </w:tabs>
        <w:rPr>
          <w:sz w:val="22"/>
          <w:szCs w:val="22"/>
          <w:lang w:val="en-US"/>
        </w:rPr>
      </w:pPr>
    </w:p>
    <w:p w14:paraId="579056B2">
      <w:pPr>
        <w:pStyle w:val="10"/>
        <w:tabs>
          <w:tab w:val="left" w:pos="495"/>
        </w:tabs>
        <w:rPr>
          <w:sz w:val="22"/>
          <w:szCs w:val="22"/>
          <w:lang w:val="en-US"/>
        </w:rPr>
      </w:pPr>
    </w:p>
    <w:p w14:paraId="4E948A32">
      <w:pPr>
        <w:pStyle w:val="10"/>
        <w:tabs>
          <w:tab w:val="left" w:pos="495"/>
        </w:tabs>
        <w:rPr>
          <w:sz w:val="22"/>
          <w:szCs w:val="22"/>
          <w:lang w:val="en-US"/>
        </w:rPr>
      </w:pPr>
    </w:p>
    <w:p w14:paraId="549E38C6">
      <w:pPr>
        <w:pStyle w:val="10"/>
        <w:tabs>
          <w:tab w:val="left" w:pos="495"/>
        </w:tabs>
        <w:rPr>
          <w:sz w:val="22"/>
          <w:szCs w:val="22"/>
          <w:lang w:val="en-US"/>
        </w:rPr>
      </w:pPr>
    </w:p>
    <w:p w14:paraId="33205F2E">
      <w:pPr>
        <w:rPr>
          <w:sz w:val="22"/>
          <w:szCs w:val="22"/>
          <w:lang w:val="en-US"/>
        </w:rPr>
      </w:pPr>
    </w:p>
    <w:p w14:paraId="5A0A3760">
      <w:r>
        <w:t>{quotationId}</w:t>
      </w:r>
    </w:p>
    <w:p w14:paraId="2B57BB83">
      <w:r>
        <w:t>Date :</w:t>
        <w:tab/>
        <w:t>{date}</w:t>
      </w:r>
    </w:p>
    <w:p w14:paraId="267BA2D3">
      <w:pPr>
        <w:pStyle w:val="10"/>
        <w:tabs>
          <w:tab w:val="left" w:pos="495"/>
        </w:tabs>
        <w:rPr>
          <w:sz w:val="22"/>
          <w:szCs w:val="22"/>
          <w:lang w:val="en-US"/>
        </w:rPr>
      </w:pPr>
    </w:p>
    <w:p w14:paraId="0C056443">
      <w:pPr>
        <w:pStyle w:val="10"/>
        <w:tabs>
          <w:tab w:val="left" w:pos="495"/>
        </w:tabs>
        <w:rPr>
          <w:sz w:val="22"/>
          <w:szCs w:val="22"/>
          <w:lang w:val="en-US"/>
        </w:rPr>
      </w:pPr>
    </w:p>
    <w:p w14:paraId="4A52AC86">
      <w:pPr>
        <w:numPr>
          <w:ilvl w:val="0"/>
          <w:numId w:val="3"/>
        </w:numPr>
        <w:tabs>
          <w:tab w:val="left" w:pos="0"/>
          <w:tab w:val="left" w:pos="420"/>
          <w:tab w:val="left" w:pos="495"/>
        </w:tabs>
        <w:jc w:val="both"/>
        <w:rPr>
          <w:rFonts w:cs="Times New Roman"/>
          <w:sz w:val="22"/>
          <w:szCs w:val="22"/>
        </w:rPr>
      </w:pPr>
      <w:r>
        <w:rPr>
          <w:rFonts w:cs="Times New Roman"/>
          <w:sz w:val="22"/>
          <w:szCs w:val="22"/>
        </w:rPr>
        <w:t>We at Scientific Standard Services Inc.  are giving our best to be diligent enough in performing the test and or calibration services but no warranties are given and none may be implied directly or indirectly relating to SSSI’ test and calibration results and facilities.  And no event shall SSSI be liable for collateral, special, consequential damage, or damages caused by fortuitous events, any error of judgment, fault or negligence of its officers or employees.</w:t>
      </w:r>
    </w:p>
    <w:p w14:paraId="12EC3EF9">
      <w:pPr>
        <w:numPr>
          <w:ilvl w:val="0"/>
          <w:numId w:val="3"/>
        </w:numPr>
        <w:tabs>
          <w:tab w:val="left" w:pos="0"/>
          <w:tab w:val="left" w:pos="420"/>
          <w:tab w:val="left" w:pos="495"/>
        </w:tabs>
        <w:jc w:val="both"/>
        <w:rPr>
          <w:rFonts w:cs="Times New Roman"/>
          <w:sz w:val="22"/>
          <w:szCs w:val="22"/>
        </w:rPr>
      </w:pPr>
      <w:r>
        <w:rPr>
          <w:rFonts w:cs="Times New Roman"/>
          <w:sz w:val="22"/>
          <w:szCs w:val="22"/>
        </w:rPr>
        <w:t>Scientific Standard Services Inc. shall have the right to sell instrument / equipment which were not claimed within a period of one hundred twenty (120) days to cover cost of storage, calibration fees and related costs.</w:t>
      </w:r>
    </w:p>
    <w:p w14:paraId="411C6181">
      <w:pPr>
        <w:numPr>
          <w:ilvl w:val="0"/>
          <w:numId w:val="3"/>
        </w:numPr>
        <w:tabs>
          <w:tab w:val="left" w:pos="0"/>
          <w:tab w:val="left" w:pos="420"/>
          <w:tab w:val="left" w:pos="495"/>
        </w:tabs>
        <w:jc w:val="both"/>
        <w:rPr>
          <w:rFonts w:cs="Times New Roman"/>
          <w:sz w:val="22"/>
          <w:szCs w:val="22"/>
        </w:rPr>
      </w:pPr>
      <w:r>
        <w:rPr>
          <w:rFonts w:cs="Times New Roman"/>
          <w:sz w:val="22"/>
          <w:szCs w:val="22"/>
        </w:rPr>
        <w:t>When an equipment for calibration has no Serial Number, Scientific Standard Services Inc. will inform the customer that a unique Serial Number or Identification will be engraved to their equipment.</w:t>
      </w:r>
    </w:p>
    <w:p w14:paraId="6F608756">
      <w:pPr>
        <w:pStyle w:val="10"/>
        <w:numPr>
          <w:ilvl w:val="0"/>
          <w:numId w:val="3"/>
        </w:numPr>
        <w:tabs>
          <w:tab w:val="left" w:pos="0"/>
          <w:tab w:val="left" w:pos="420"/>
        </w:tabs>
        <w:rPr>
          <w:rFonts w:cs="Calibri"/>
          <w:sz w:val="22"/>
          <w:szCs w:val="22"/>
        </w:rPr>
      </w:pPr>
      <w:r>
        <w:rPr>
          <w:sz w:val="22"/>
          <w:szCs w:val="22"/>
        </w:rPr>
        <w:t xml:space="preserve">That the calibration of pressure gauge will be using hydraulic oil as a medium, and we do not calibrate “use no oil “ type. </w:t>
      </w:r>
    </w:p>
    <w:p w14:paraId="5AC973EE">
      <w:pPr>
        <w:numPr>
          <w:ilvl w:val="0"/>
          <w:numId w:val="3"/>
        </w:numPr>
        <w:tabs>
          <w:tab w:val="left" w:pos="0"/>
          <w:tab w:val="left" w:pos="420"/>
          <w:tab w:val="left" w:pos="495"/>
        </w:tabs>
        <w:jc w:val="both"/>
        <w:rPr>
          <w:rFonts w:cs="Times New Roman"/>
          <w:sz w:val="22"/>
          <w:szCs w:val="22"/>
        </w:rPr>
      </w:pPr>
      <w:r>
        <w:rPr>
          <w:rFonts w:cs="Times New Roman"/>
          <w:sz w:val="22"/>
          <w:szCs w:val="22"/>
        </w:rPr>
        <w:t>That the calibration certificate will only be given upon full payment of calibration services.</w:t>
      </w:r>
    </w:p>
    <w:p w14:paraId="237DD046">
      <w:pPr>
        <w:numPr>
          <w:ilvl w:val="0"/>
          <w:numId w:val="3"/>
        </w:numPr>
        <w:tabs>
          <w:tab w:val="left" w:pos="0"/>
          <w:tab w:val="left" w:pos="420"/>
          <w:tab w:val="left" w:pos="495"/>
        </w:tabs>
        <w:jc w:val="both"/>
        <w:rPr>
          <w:rFonts w:cs="Times New Roman"/>
          <w:sz w:val="22"/>
          <w:szCs w:val="22"/>
        </w:rPr>
      </w:pPr>
      <w:r>
        <w:rPr>
          <w:rFonts w:cs="Times New Roman"/>
          <w:sz w:val="22"/>
          <w:szCs w:val="22"/>
        </w:rPr>
        <w:t xml:space="preserve">This offer is </w:t>
      </w:r>
      <w:r>
        <w:rPr>
          <w:rFonts w:cs="Times New Roman"/>
          <w:b/>
          <w:sz w:val="22"/>
          <w:szCs w:val="22"/>
        </w:rPr>
        <w:t xml:space="preserve">valid for 30 days from date of quotation </w:t>
      </w:r>
      <w:r>
        <w:rPr>
          <w:rFonts w:cs="Times New Roman"/>
          <w:sz w:val="22"/>
          <w:szCs w:val="22"/>
        </w:rPr>
        <w:t>and thereafter will be subject to a written confirmation.</w:t>
      </w:r>
    </w:p>
    <w:p w14:paraId="56054338">
      <w:pPr>
        <w:numPr>
          <w:ilvl w:val="0"/>
          <w:numId w:val="3"/>
        </w:numPr>
        <w:tabs>
          <w:tab w:val="left" w:pos="0"/>
          <w:tab w:val="left" w:pos="420"/>
          <w:tab w:val="left" w:pos="495"/>
        </w:tabs>
        <w:jc w:val="both"/>
        <w:rPr>
          <w:rFonts w:cs="Times New Roman"/>
          <w:sz w:val="22"/>
          <w:szCs w:val="22"/>
        </w:rPr>
      </w:pPr>
      <w:r>
        <w:rPr>
          <w:rFonts w:cs="Times New Roman"/>
          <w:sz w:val="22"/>
          <w:szCs w:val="22"/>
        </w:rPr>
        <w:t>The full evaluation of the instrument (UUT) will be done during the scheduled calibration.</w:t>
      </w:r>
    </w:p>
    <w:p w14:paraId="59452D3B">
      <w:pPr>
        <w:numPr>
          <w:ilvl w:val="0"/>
          <w:numId w:val="3"/>
        </w:numPr>
        <w:tabs>
          <w:tab w:val="left" w:pos="0"/>
          <w:tab w:val="left" w:pos="420"/>
          <w:tab w:val="left" w:pos="495"/>
        </w:tabs>
        <w:jc w:val="both"/>
        <w:rPr>
          <w:rFonts w:cs="Times New Roman"/>
          <w:sz w:val="22"/>
          <w:szCs w:val="22"/>
        </w:rPr>
      </w:pPr>
      <w:r>
        <w:rPr>
          <w:rFonts w:cs="Times New Roman"/>
          <w:sz w:val="22"/>
          <w:szCs w:val="22"/>
        </w:rPr>
        <w:t>That as agreed the calibration frequency for these instruments is (   ) months/year/s.</w:t>
        <w:tab/>
      </w:r>
    </w:p>
    <w:p w14:paraId="73B6CD0C">
      <w:pPr>
        <w:numPr>
          <w:ilvl w:val="0"/>
          <w:numId w:val="3"/>
        </w:numPr>
        <w:tabs>
          <w:tab w:val="left" w:pos="0"/>
          <w:tab w:val="left" w:pos="420"/>
          <w:tab w:val="left" w:pos="495"/>
        </w:tabs>
        <w:jc w:val="both"/>
        <w:rPr>
          <w:rFonts w:cs="Times New Roman"/>
          <w:sz w:val="22"/>
          <w:szCs w:val="22"/>
        </w:rPr>
      </w:pPr>
      <w:r>
        <w:rPr>
          <w:rFonts w:cs="Times New Roman"/>
          <w:sz w:val="22"/>
          <w:szCs w:val="22"/>
        </w:rPr>
        <w:t>Scientific Standard Services Inc. will charge 50% of the actual amount of calibration if the instrument was already calibrated and the customer decided to cancel the transaction and pull-out/return without calibration (RWOC) the instrument due to error or discrepancies found during calibration.  In this case, SSSI can issue a Service Report if applicable.</w:t>
      </w:r>
    </w:p>
    <w:p w14:paraId="5D71A01E">
      <w:pPr>
        <w:numPr>
          <w:ilvl w:val="0"/>
          <w:numId w:val="3"/>
        </w:numPr>
        <w:tabs>
          <w:tab w:val="left" w:pos="0"/>
          <w:tab w:val="left" w:pos="420"/>
          <w:tab w:val="left" w:pos="495"/>
        </w:tabs>
        <w:jc w:val="both"/>
        <w:rPr>
          <w:rFonts w:cs="Times New Roman"/>
          <w:sz w:val="22"/>
          <w:szCs w:val="22"/>
        </w:rPr>
      </w:pPr>
      <w:r>
        <w:rPr>
          <w:rFonts w:cs="Times New Roman"/>
          <w:sz w:val="22"/>
          <w:szCs w:val="22"/>
        </w:rPr>
        <w:t>The customer shall not allow financial, commercial or other pressure to compromise impartiality and conflict of interest on its activities.</w:t>
      </w:r>
    </w:p>
    <w:p w14:paraId="25F46D10">
      <w:pPr>
        <w:numPr>
          <w:ilvl w:val="0"/>
          <w:numId w:val="3"/>
        </w:numPr>
        <w:tabs>
          <w:tab w:val="left" w:pos="0"/>
          <w:tab w:val="left" w:pos="420"/>
          <w:tab w:val="left" w:pos="495"/>
        </w:tabs>
        <w:jc w:val="both"/>
        <w:rPr>
          <w:rFonts w:cs="Times New Roman"/>
          <w:sz w:val="22"/>
          <w:szCs w:val="22"/>
        </w:rPr>
      </w:pPr>
      <w:r>
        <w:rPr>
          <w:rFonts w:cs="Times New Roman"/>
          <w:sz w:val="22"/>
          <w:szCs w:val="22"/>
        </w:rPr>
        <w:t>The customer will not disclose any Scientific Standard Services Inc. and/or SSSI Customer’s information to any third party and that no information will be used by this company or permitted by SSSI to be used for other purposes.</w:t>
      </w:r>
    </w:p>
    <w:p w14:paraId="7E601551">
      <w:pPr>
        <w:numPr>
          <w:ilvl w:val="0"/>
          <w:numId w:val="3"/>
        </w:numPr>
        <w:tabs>
          <w:tab w:val="left" w:pos="0"/>
          <w:tab w:val="left" w:pos="420"/>
          <w:tab w:val="left" w:pos="495"/>
        </w:tabs>
        <w:jc w:val="both"/>
        <w:rPr>
          <w:rFonts w:cs="Times New Roman"/>
          <w:sz w:val="22"/>
          <w:szCs w:val="22"/>
        </w:rPr>
      </w:pPr>
      <w:r>
        <w:rPr>
          <w:rFonts w:cs="Times New Roman"/>
          <w:sz w:val="22"/>
          <w:szCs w:val="22"/>
        </w:rPr>
        <w:t>That these conditions of calibration shall constitute the agreement in full of services to be rendered by Scientific Standard Services Inc. (SSSI) and warranties thereof to client and SSSI shall not be made to undertake nor perform any additional act or services or give other warranty not included herein, and that client shall accordingly compensate SSSI after compliance herewith.</w:t>
      </w:r>
    </w:p>
    <w:p w14:paraId="2D4E2AAF">
      <w:pPr>
        <w:jc w:val="both"/>
        <w:rPr>
          <w:rFonts w:cs="Times New Roman"/>
          <w:sz w:val="22"/>
          <w:szCs w:val="22"/>
        </w:rPr>
      </w:pPr>
    </w:p>
    <w:p w14:paraId="765C99F4">
      <w:pPr>
        <w:jc w:val="both"/>
        <w:rPr>
          <w:sz w:val="22"/>
          <w:szCs w:val="22"/>
        </w:rPr>
      </w:pPr>
    </w:p>
    <w:p w14:paraId="2FEB420C">
      <w:pPr>
        <w:ind w:left="360" w:right="0"/>
        <w:jc w:val="both"/>
        <w:rPr>
          <w:sz w:val="22"/>
          <w:szCs w:val="22"/>
        </w:rPr>
      </w:pPr>
      <w:r>
        <w:rPr>
          <w:sz w:val="22"/>
          <w:szCs w:val="22"/>
        </w:rPr>
        <w:t>Thank you</w:t>
      </w:r>
    </w:p>
    <w:p w14:paraId="67DE5A84">
      <w:pPr>
        <w:jc w:val="both"/>
        <w:rPr>
          <w:sz w:val="22"/>
          <w:szCs w:val="22"/>
        </w:rPr>
      </w:pPr>
    </w:p>
    <w:p w14:paraId="6FEB18E3">
      <w:pPr>
        <w:ind w:left="360" w:right="0" w:firstLine="330" w:firstLineChars="150"/>
        <w:jc w:val="both"/>
        <w:rPr>
          <w:sz w:val="22"/>
          <w:szCs w:val="22"/>
        </w:rPr>
      </w:pPr>
      <w:r>
        <w:rPr>
          <w:sz w:val="22"/>
          <w:szCs w:val="22"/>
        </w:rPr>
        <w:tab/>
        <w:t xml:space="preserve">Prepared by: </w:t>
      </w:r>
      <w:r>
        <w:rPr>
          <w:rFonts w:hint="default"/>
          <w:sz w:val="22"/>
          <w:szCs w:val="22"/>
          <w:lang w:val="en-US"/>
        </w:rPr>
        <w:tab/>
        <w:t/>
        <w:tab/>
        <w:t xml:space="preserve">                                                                             </w:t>
      </w:r>
      <w:r>
        <w:rPr>
          <w:sz w:val="22"/>
          <w:szCs w:val="22"/>
        </w:rPr>
        <w:t>CONFORME</w:t>
      </w:r>
    </w:p>
    <w:p w14:paraId="7C52AA85">
      <w:pPr>
        <w:ind w:left="360" w:right="0"/>
        <w:jc w:val="both"/>
        <w:rPr>
          <w:rFonts w:hint="default"/>
          <w:sz w:val="22"/>
          <w:szCs w:val="22"/>
          <w:lang w:val="en-US"/>
        </w:rPr>
      </w:pPr>
    </w:p>
    <w:p>
      <w:pPr>
        <w:rPr>
          <w:sz w:val="22"/>
          <w:szCs w:val="22"/>
        </w:rPr>
      </w:pPr>
      <w:r>
        <w:rPr>
          <w:sz w:val="22"/>
          <w:szCs w:val="22"/>
        </w:rPr>
        <w:t>{%clerkSignature}</w:t>
      </w:r>
    </w:p>
    <w:p w14:paraId="65C47549">
      <w:pPr>
        <w:ind w:firstLine="660" w:firstLineChars="300"/>
      </w:pPr>
      <w:r>
        <w:rPr>
          <w:sz w:val="22"/>
          <w:szCs w:val="22"/>
        </w:rPr>
        <w:t>{preparedBy}</w:t>
        <w:tab/>
        <w:tab/>
      </w:r>
      <w:r>
        <w:rPr>
          <w:rFonts w:hint="default"/>
          <w:sz w:val="22"/>
          <w:szCs w:val="22"/>
          <w:lang w:val="en-US"/>
        </w:rPr>
        <w:t xml:space="preserve">                                        </w:t>
      </w:r>
      <w:bookmarkStart w:id="0" w:name="_GoBack"/>
      <w:bookmarkEnd w:id="0"/>
      <w:r>
        <w:rPr>
          <w:rFonts w:hint="default"/>
          <w:sz w:val="22"/>
          <w:szCs w:val="22"/>
          <w:lang w:val="en-US"/>
        </w:rPr>
        <w:t xml:space="preserve">                                     </w:t>
      </w:r>
      <w:r>
        <w:rPr>
          <w:sz w:val="22"/>
          <w:szCs w:val="22"/>
        </w:rPr>
        <w:t>{contactName}</w:t>
      </w:r>
    </w:p>
    <w:p w14:paraId="2C597E6A">
      <w:pPr>
        <w:ind w:left="360" w:right="0" w:firstLine="330" w:firstLineChars="150"/>
        <w:jc w:val="both"/>
        <w:rPr>
          <w:sz w:val="22"/>
          <w:szCs w:val="22"/>
        </w:rPr>
      </w:pPr>
      <w:r>
        <w:rPr>
          <w:sz w:val="22"/>
          <w:szCs w:val="22"/>
        </w:rPr>
        <w:tab/>
        <w:tab/>
        <w:tab/>
        <w:tab/>
      </w:r>
    </w:p>
    <w:p w14:paraId="39BBF9F6">
      <w:pPr>
        <w:jc w:val="both"/>
        <w:rPr>
          <w:sz w:val="22"/>
          <w:szCs w:val="22"/>
        </w:rPr>
      </w:pPr>
    </w:p>
    <w:p w14:paraId="71FB610F">
      <w:pPr>
        <w:rPr>
          <w:sz w:val="22"/>
          <w:szCs w:val="22"/>
        </w:rPr>
      </w:pPr>
      <w:r>
        <w:rPr>
          <w:rFonts w:cs="Times New Roman"/>
          <w:sz w:val="22"/>
          <w:szCs w:val="22"/>
        </w:rPr>
        <w:t xml:space="preserve"> </w:t>
      </w:r>
      <w:r>
        <w:rPr>
          <w:sz w:val="22"/>
          <w:szCs w:val="22"/>
        </w:rPr>
        <w:tab/>
        <w:tab/>
      </w:r>
      <w:r>
        <w:rPr>
          <w:rFonts w:hint="default"/>
          <w:sz w:val="22"/>
          <w:szCs w:val="22"/>
          <w:lang w:val="en-US"/>
        </w:rPr>
        <w:tab/>
        <w:tab/>
        <w:tab/>
        <w:tab/>
        <w:tab/>
        <w:tab/>
        <w:tab/>
        <w:tab/>
      </w:r>
    </w:p>
    <w:p w14:paraId="5581EB57">
      <w:pPr>
        <w:rPr>
          <w:sz w:val="22"/>
          <w:szCs w:val="22"/>
        </w:rPr>
      </w:pPr>
    </w:p>
    <w:p>
      <w:pPr>
        <w:rPr>
          <w:sz w:val="22"/>
          <w:szCs w:val="22"/>
        </w:rPr>
      </w:pPr>
      <w:r>
        <w:rPr>
          <w:sz w:val="22"/>
          <w:szCs w:val="22"/>
        </w:rPr>
        <w:t>[[%adminSignature]]</w:t>
      </w:r>
    </w:p>
    <w:p w14:paraId="758368CD">
      <w:pPr>
        <w:rPr>
          <w:sz w:val="22"/>
          <w:szCs w:val="22"/>
        </w:rPr>
      </w:pPr>
      <w:r>
        <w:rPr>
          <w:sz w:val="22"/>
          <w:szCs w:val="22"/>
        </w:rPr>
        <w:tab/>
        <w:t>Approved by: [[approvedBy]]</w:t>
      </w:r>
      <w:r>
        <w:rPr>
          <w:rFonts w:ascii="Courier New" w:hAnsi="Courier New" w:cs="Courier New"/>
          <w:color w:val="333333"/>
          <w:sz w:val="22"/>
          <w:szCs w:val="22"/>
          <w:shd w:val="clear" w:fill="FFFFFF"/>
        </w:rPr>
        <w:t xml:space="preserve">      </w:t>
        <w:tab/>
        <w:tab/>
        <w:tab/>
        <w:tab/>
        <w:tab/>
      </w:r>
    </w:p>
    <w:p w14:paraId="1ABF3DE4">
      <w:pPr>
        <w:rPr>
          <w:sz w:val="22"/>
          <w:szCs w:val="22"/>
        </w:rPr>
      </w:pPr>
    </w:p>
    <w:p w14:paraId="034031EA">
      <w:pPr>
        <w:rPr>
          <w:sz w:val="22"/>
          <w:szCs w:val="22"/>
        </w:rPr>
      </w:pPr>
      <w:r>
        <w:rPr>
          <w:rFonts w:cs="Times New Roman"/>
          <w:sz w:val="22"/>
          <w:szCs w:val="22"/>
        </w:rPr>
        <w:t xml:space="preserve">   </w:t>
      </w:r>
    </w:p>
    <w:p w14:paraId="37A45192">
      <w:pPr>
        <w:rPr>
          <w:rFonts w:cs="Times New Roman"/>
          <w:sz w:val="22"/>
          <w:szCs w:val="22"/>
        </w:rPr>
      </w:pPr>
      <w:r>
        <w:rPr>
          <w:rFonts w:cs="Times New Roman"/>
          <w:sz w:val="22"/>
          <w:szCs w:val="22"/>
        </w:rPr>
        <w:t xml:space="preserve">      </w:t>
      </w:r>
    </w:p>
    <w:sectPr>
      <w:headerReference r:id="rId3" w:type="default"/>
      <w:footerReference r:id="rId4" w:type="default"/>
      <w:pgSz w:w="12240" w:h="15840"/>
      <w:pgMar w:top="736" w:right="1440" w:bottom="720" w:left="1440" w:header="680" w:footer="227"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AE3B2">
    <w:pPr>
      <w:pStyle w:val="13"/>
      <w:jc w:val="center"/>
      <w:rPr>
        <w:rFonts w:cs="Times New Roman"/>
        <w:sz w:val="18"/>
        <w:szCs w:val="18"/>
      </w:rPr>
    </w:pPr>
    <w:r>
      <w:rPr>
        <w:rFonts w:cs="Times New Roman"/>
        <w:sz w:val="18"/>
        <w:szCs w:val="18"/>
      </w:rPr>
      <w:t xml:space="preserve">Page </w:t>
    </w:r>
    <w:r>
      <w:rPr>
        <w:rFonts w:cs="Times New Roman"/>
        <w:sz w:val="18"/>
        <w:szCs w:val="18"/>
      </w:rPr>
      <w:fldChar w:fldCharType="begin"/>
    </w:r>
    <w:r>
      <w:rPr>
        <w:rFonts w:cs="Times New Roman"/>
        <w:sz w:val="18"/>
        <w:szCs w:val="18"/>
      </w:rPr>
      <w:instrText xml:space="preserve"> PAGE </w:instrText>
    </w:r>
    <w:r>
      <w:rPr>
        <w:rFonts w:cs="Times New Roman"/>
        <w:sz w:val="18"/>
        <w:szCs w:val="18"/>
      </w:rPr>
      <w:fldChar w:fldCharType="separate"/>
    </w:r>
    <w:r>
      <w:rPr>
        <w:rFonts w:cs="Times New Roman"/>
        <w:sz w:val="18"/>
        <w:szCs w:val="18"/>
      </w:rPr>
      <w:t>2</w:t>
    </w:r>
    <w:r>
      <w:rPr>
        <w:rFonts w:cs="Times New Roman"/>
        <w:sz w:val="18"/>
        <w:szCs w:val="18"/>
      </w:rPr>
      <w:fldChar w:fldCharType="end"/>
    </w:r>
    <w:r>
      <w:rPr>
        <w:rFonts w:cs="Times New Roman"/>
        <w:sz w:val="18"/>
        <w:szCs w:val="18"/>
      </w:rPr>
      <w:t xml:space="preserve"> of </w:t>
    </w:r>
    <w:r>
      <w:rPr>
        <w:rFonts w:cs="Times New Roman"/>
        <w:sz w:val="18"/>
        <w:szCs w:val="18"/>
      </w:rPr>
      <w:fldChar w:fldCharType="begin"/>
    </w:r>
    <w:r>
      <w:rPr>
        <w:rFonts w:cs="Times New Roman"/>
        <w:sz w:val="18"/>
        <w:szCs w:val="18"/>
      </w:rPr>
      <w:instrText xml:space="preserve"> NUMPAGES \* ARABIC </w:instrText>
    </w:r>
    <w:r>
      <w:rPr>
        <w:rFonts w:cs="Times New Roman"/>
        <w:sz w:val="18"/>
        <w:szCs w:val="18"/>
      </w:rPr>
      <w:fldChar w:fldCharType="separate"/>
    </w:r>
    <w:r>
      <w:rPr>
        <w:rFonts w:cs="Times New Roman"/>
        <w:sz w:val="18"/>
        <w:szCs w:val="18"/>
      </w:rPr>
      <w:t>2</w:t>
    </w:r>
    <w:r>
      <w:rPr>
        <w:rFonts w:cs="Times New Roman"/>
        <w:sz w:val="18"/>
        <w:szCs w:val="18"/>
      </w:rPr>
      <w:fldChar w:fldCharType="end"/>
    </w:r>
  </w:p>
  <w:p w14:paraId="1CCE647D">
    <w:pPr>
      <w:pStyle w:val="13"/>
      <w:jc w:val="right"/>
      <w:rPr>
        <w:rFonts w:ascii="Tahoma" w:hAnsi="Tahoma" w:cs="Tahoma"/>
        <w:b/>
        <w:sz w:val="18"/>
        <w:szCs w:val="18"/>
      </w:rPr>
    </w:pPr>
  </w:p>
  <w:p w14:paraId="5E58C784">
    <w:pPr>
      <w:jc w:val="right"/>
      <w:rPr>
        <w:rFonts w:ascii="Tahoma" w:hAnsi="Tahoma" w:cs="Tahoma"/>
        <w:sz w:val="14"/>
        <w:szCs w:val="14"/>
      </w:rPr>
    </w:pPr>
    <w:r>
      <w:rPr>
        <w:rFonts w:ascii="Tahoma" w:hAnsi="Tahoma" w:cs="Tahoma"/>
        <w:sz w:val="14"/>
        <w:szCs w:val="14"/>
      </w:rPr>
      <w:t xml:space="preserve">DOC ID: </w:t>
    </w:r>
    <w:r>
      <w:rPr>
        <w:rFonts w:ascii="Tahoma" w:hAnsi="Tahoma" w:cs="Tahoma"/>
        <w:b/>
        <w:bCs/>
        <w:sz w:val="14"/>
        <w:szCs w:val="14"/>
      </w:rPr>
      <w:t>SSS-FRM-060</w:t>
    </w:r>
  </w:p>
  <w:p w14:paraId="59698FE5">
    <w:pPr>
      <w:pStyle w:val="13"/>
      <w:jc w:val="right"/>
      <w:rPr>
        <w:rFonts w:ascii="Tahoma" w:hAnsi="Tahoma" w:cs="Tahoma"/>
        <w:b/>
        <w:bCs/>
      </w:rPr>
    </w:pPr>
    <w:r>
      <w:rPr>
        <w:rFonts w:ascii="Tahoma" w:hAnsi="Tahoma" w:cs="Tahoma"/>
        <w:b/>
        <w:bCs/>
      </w:rPr>
      <w:t>www.scientificstandards.com.ph</w:t>
    </w:r>
  </w:p>
  <w:p w14:paraId="074BFB4C">
    <w:pPr>
      <w:pStyle w:val="13"/>
      <w:jc w:val="right"/>
      <w:rPr>
        <w:rFonts w:ascii="Tahoma" w:hAnsi="Tahoma" w:cs="Tahoma"/>
        <w:b/>
        <w:bC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88CF2">
    <w:pPr>
      <w:pStyle w:val="14"/>
      <w:ind w:right="0" w:firstLine="720"/>
      <w:rPr>
        <w:rFonts w:ascii="Tahoma" w:hAnsi="Tahoma" w:cs="Tahoma"/>
        <w:b/>
        <w:bCs/>
        <w:sz w:val="23"/>
        <w:szCs w:val="23"/>
      </w:rPr>
    </w:pPr>
    <w:r>
      <w:drawing>
        <wp:anchor distT="0" distB="0" distL="114935" distR="114935" simplePos="0" relativeHeight="251659264" behindDoc="1" locked="0" layoutInCell="1" allowOverlap="1">
          <wp:simplePos x="0" y="0"/>
          <wp:positionH relativeFrom="column">
            <wp:posOffset>-318770</wp:posOffset>
          </wp:positionH>
          <wp:positionV relativeFrom="paragraph">
            <wp:posOffset>-123825</wp:posOffset>
          </wp:positionV>
          <wp:extent cx="889000" cy="8667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l="10035" t="10190" r="56098" b="37647"/>
                  <a:stretch>
                    <a:fillRect/>
                  </a:stretch>
                </pic:blipFill>
                <pic:spPr>
                  <a:xfrm>
                    <a:off x="0" y="0"/>
                    <a:ext cx="889000" cy="866775"/>
                  </a:xfrm>
                  <a:prstGeom prst="rect">
                    <a:avLst/>
                  </a:prstGeom>
                </pic:spPr>
              </pic:pic>
            </a:graphicData>
          </a:graphic>
        </wp:anchor>
      </w:drawing>
    </w:r>
    <w:r>
      <w:rPr>
        <w:rFonts w:ascii="Tahoma" w:hAnsi="Tahoma" w:eastAsia="Tahoma" w:cs="Tahoma"/>
        <w:b/>
        <w:bCs/>
        <w:sz w:val="23"/>
        <w:szCs w:val="23"/>
      </w:rPr>
      <w:t xml:space="preserve">      </w:t>
    </w:r>
    <w:r>
      <w:rPr>
        <w:rFonts w:ascii="Tahoma" w:hAnsi="Tahoma" w:cs="Tahoma"/>
        <w:b/>
        <w:bCs/>
        <w:sz w:val="23"/>
        <w:szCs w:val="23"/>
      </w:rPr>
      <w:t>SCIENTIFIC STANDARD SERVICES INC.</w:t>
    </w:r>
    <w:r>
      <w:rPr>
        <w:rFonts w:ascii="Tahoma" w:hAnsi="Tahoma" w:cs="Tahoma"/>
        <w:b/>
        <w:bCs/>
        <w:sz w:val="23"/>
        <w:szCs w:val="23"/>
      </w:rPr>
      <w:tab/>
    </w:r>
    <w:r>
      <mc:AlternateContent>
        <mc:Choice Requires="wps">
          <w:drawing>
            <wp:anchor distT="0" distB="0" distL="0" distR="114935" simplePos="0" relativeHeight="251659264" behindDoc="1" locked="0" layoutInCell="0" allowOverlap="1">
              <wp:simplePos x="0" y="0"/>
              <wp:positionH relativeFrom="margin">
                <wp:align>left</wp:align>
              </wp:positionH>
              <wp:positionV relativeFrom="paragraph">
                <wp:posOffset>635</wp:posOffset>
              </wp:positionV>
              <wp:extent cx="1413510" cy="572135"/>
              <wp:effectExtent l="0" t="0" r="0" b="0"/>
              <wp:wrapNone/>
              <wp:docPr id="2" name="Frame1"/>
              <wp:cNvGraphicFramePr/>
              <a:graphic xmlns:a="http://schemas.openxmlformats.org/drawingml/2006/main">
                <a:graphicData uri="http://schemas.microsoft.com/office/word/2010/wordprocessingShape">
                  <wps:wsp>
                    <wps:cNvSpPr txBox="1"/>
                    <wps:spPr>
                      <a:xfrm>
                        <a:off x="0" y="0"/>
                        <a:ext cx="1413510" cy="572135"/>
                      </a:xfrm>
                      <a:prstGeom prst="rect">
                        <a:avLst/>
                      </a:prstGeom>
                      <a:solidFill>
                        <a:srgbClr val="FFFFFF"/>
                      </a:solidFill>
                      <a:ln w="9525">
                        <a:solidFill>
                          <a:srgbClr val="000000"/>
                        </a:solidFill>
                      </a:ln>
                    </wps:spPr>
                    <wps:txbx>
                      <w:txbxContent>
                        <w:p w14:paraId="3EBA7839">
                          <w:pPr>
                            <w:rPr>
                              <w:rFonts w:ascii="Tahoma" w:hAnsi="Tahoma" w:cs="Tahoma"/>
                              <w:sz w:val="14"/>
                              <w:szCs w:val="14"/>
                            </w:rPr>
                          </w:pPr>
                          <w:r>
                            <w:rPr>
                              <w:rFonts w:ascii="Tahoma" w:hAnsi="Tahoma" w:cs="Tahoma"/>
                              <w:sz w:val="14"/>
                              <w:szCs w:val="14"/>
                            </w:rPr>
                            <w:t>DOC ID</w:t>
                          </w:r>
                          <w:r>
                            <w:rPr>
                              <w:rFonts w:ascii="Tahoma" w:hAnsi="Tahoma" w:cs="Tahoma"/>
                              <w:sz w:val="14"/>
                              <w:szCs w:val="14"/>
                            </w:rPr>
                            <w:tab/>
                          </w:r>
                          <w:r>
                            <w:rPr>
                              <w:rFonts w:ascii="Tahoma" w:hAnsi="Tahoma" w:cs="Tahoma"/>
                              <w:sz w:val="14"/>
                              <w:szCs w:val="14"/>
                            </w:rPr>
                            <w:t xml:space="preserve">: </w:t>
                          </w:r>
                          <w:r>
                            <w:rPr>
                              <w:rFonts w:ascii="Tahoma" w:hAnsi="Tahoma" w:cs="Tahoma"/>
                              <w:b/>
                              <w:bCs/>
                              <w:sz w:val="14"/>
                              <w:szCs w:val="14"/>
                            </w:rPr>
                            <w:t>SSS-FRM-060</w:t>
                          </w:r>
                        </w:p>
                        <w:p w14:paraId="411547B2">
                          <w:pPr>
                            <w:rPr>
                              <w:rFonts w:ascii="Tahoma" w:hAnsi="Tahoma" w:cs="Tahoma"/>
                              <w:sz w:val="14"/>
                              <w:szCs w:val="14"/>
                            </w:rPr>
                          </w:pPr>
                          <w:r>
                            <w:rPr>
                              <w:rFonts w:ascii="Tahoma" w:hAnsi="Tahoma" w:cs="Tahoma"/>
                              <w:sz w:val="14"/>
                              <w:szCs w:val="14"/>
                            </w:rPr>
                            <w:t xml:space="preserve">ISSUE NO.  : </w:t>
                          </w:r>
                          <w:r>
                            <w:rPr>
                              <w:rFonts w:ascii="Tahoma" w:hAnsi="Tahoma" w:cs="Tahoma"/>
                              <w:b/>
                              <w:bCs/>
                              <w:sz w:val="14"/>
                              <w:szCs w:val="14"/>
                            </w:rPr>
                            <w:t>02</w:t>
                          </w:r>
                        </w:p>
                        <w:p w14:paraId="2B40D714">
                          <w:pPr>
                            <w:rPr>
                              <w:rFonts w:ascii="Tahoma" w:hAnsi="Tahoma" w:cs="Tahoma"/>
                              <w:sz w:val="14"/>
                              <w:szCs w:val="14"/>
                            </w:rPr>
                          </w:pPr>
                          <w:r>
                            <w:rPr>
                              <w:rFonts w:ascii="Tahoma" w:hAnsi="Tahoma" w:cs="Tahoma"/>
                              <w:sz w:val="14"/>
                              <w:szCs w:val="14"/>
                            </w:rPr>
                            <w:t xml:space="preserve">REVISION  : </w:t>
                          </w:r>
                          <w:r>
                            <w:rPr>
                              <w:rFonts w:ascii="Tahoma" w:hAnsi="Tahoma" w:cs="Tahoma"/>
                              <w:b/>
                              <w:bCs/>
                              <w:sz w:val="14"/>
                              <w:szCs w:val="14"/>
                            </w:rPr>
                            <w:t>01</w:t>
                          </w:r>
                        </w:p>
                        <w:p w14:paraId="21E07959">
                          <w:pPr>
                            <w:rPr>
                              <w:rFonts w:ascii="Tahoma" w:hAnsi="Tahoma" w:cs="Tahoma"/>
                              <w:sz w:val="14"/>
                              <w:szCs w:val="14"/>
                            </w:rPr>
                          </w:pPr>
                          <w:r>
                            <w:rPr>
                              <w:rFonts w:ascii="Tahoma" w:hAnsi="Tahoma" w:cs="Tahoma"/>
                              <w:sz w:val="14"/>
                              <w:szCs w:val="14"/>
                            </w:rPr>
                            <w:t xml:space="preserve">DATE REV  : </w:t>
                          </w:r>
                          <w:r>
                            <w:rPr>
                              <w:rFonts w:ascii="Tahoma" w:hAnsi="Tahoma" w:cs="Tahoma"/>
                              <w:b/>
                              <w:bCs/>
                              <w:sz w:val="14"/>
                              <w:szCs w:val="14"/>
                            </w:rPr>
                            <w:t>2021 JAN 28</w:t>
                          </w:r>
                        </w:p>
                        <w:p w14:paraId="72206740">
                          <w:pPr>
                            <w:rPr>
                              <w:rFonts w:ascii="Tahoma" w:hAnsi="Tahoma" w:cs="Tahoma"/>
                              <w:sz w:val="14"/>
                              <w:szCs w:val="14"/>
                            </w:rPr>
                          </w:pPr>
                        </w:p>
                      </w:txbxContent>
                    </wps:txbx>
                    <wps:bodyPr lIns="91440" tIns="45720" rIns="91440" bIns="45720" anchor="t">
                      <a:noAutofit/>
                    </wps:bodyPr>
                  </wps:wsp>
                </a:graphicData>
              </a:graphic>
            </wp:anchor>
          </w:drawing>
        </mc:Choice>
        <mc:Fallback>
          <w:pict>
            <v:shape id="Frame1" o:spid="_x0000_s1026" o:spt="202" type="#_x0000_t202" style="position:absolute;left:0pt;margin-top:0.05pt;height:45.05pt;width:111.3pt;mso-position-horizontal:left;mso-position-horizontal-relative:margin;z-index:-251657216;mso-width-relative:page;mso-height-relative:page;" fillcolor="#FFFFFF" filled="t" stroked="t" coordsize="21600,21600" o:allowincell="f" o:gfxdata="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kdqhC1AAAAAQBAAAPAAAAAAAAAAEA&#10;IAAAACIAAABkcnMvZG93bnJldi54bWxQSwECFAAUAAAACACHTuJAzVG6yNoBAADxAwAADgAAAAAA&#10;AAABACAAAAAjAQAAZHJzL2Uyb0RvYy54bWxQSwUGAAAAAAYABgBZAQAAbwUAAAAA&#10;">
              <v:fill on="t" focussize="0,0"/>
              <v:stroke color="#000000" joinstyle="round"/>
              <v:imagedata o:title=""/>
              <o:lock v:ext="edit" aspectratio="f"/>
              <v:textbox>
                <w:txbxContent>
                  <w:p w14:paraId="3EBA7839">
                    <w:pPr>
                      <w:rPr>
                        <w:rFonts w:ascii="Tahoma" w:hAnsi="Tahoma" w:cs="Tahoma"/>
                        <w:sz w:val="14"/>
                        <w:szCs w:val="14"/>
                      </w:rPr>
                    </w:pPr>
                    <w:r>
                      <w:rPr>
                        <w:rFonts w:ascii="Tahoma" w:hAnsi="Tahoma" w:cs="Tahoma"/>
                        <w:sz w:val="14"/>
                        <w:szCs w:val="14"/>
                      </w:rPr>
                      <w:t>DOC ID</w:t>
                    </w:r>
                    <w:r>
                      <w:rPr>
                        <w:rFonts w:ascii="Tahoma" w:hAnsi="Tahoma" w:cs="Tahoma"/>
                        <w:sz w:val="14"/>
                        <w:szCs w:val="14"/>
                      </w:rPr>
                      <w:tab/>
                    </w:r>
                    <w:r>
                      <w:rPr>
                        <w:rFonts w:ascii="Tahoma" w:hAnsi="Tahoma" w:cs="Tahoma"/>
                        <w:sz w:val="14"/>
                        <w:szCs w:val="14"/>
                      </w:rPr>
                      <w:t xml:space="preserve">: </w:t>
                    </w:r>
                    <w:r>
                      <w:rPr>
                        <w:rFonts w:ascii="Tahoma" w:hAnsi="Tahoma" w:cs="Tahoma"/>
                        <w:b/>
                        <w:bCs/>
                        <w:sz w:val="14"/>
                        <w:szCs w:val="14"/>
                      </w:rPr>
                      <w:t>SSS-FRM-060</w:t>
                    </w:r>
                  </w:p>
                  <w:p w14:paraId="411547B2">
                    <w:pPr>
                      <w:rPr>
                        <w:rFonts w:ascii="Tahoma" w:hAnsi="Tahoma" w:cs="Tahoma"/>
                        <w:sz w:val="14"/>
                        <w:szCs w:val="14"/>
                      </w:rPr>
                    </w:pPr>
                    <w:r>
                      <w:rPr>
                        <w:rFonts w:ascii="Tahoma" w:hAnsi="Tahoma" w:cs="Tahoma"/>
                        <w:sz w:val="14"/>
                        <w:szCs w:val="14"/>
                      </w:rPr>
                      <w:t xml:space="preserve">ISSUE NO.  : </w:t>
                    </w:r>
                    <w:r>
                      <w:rPr>
                        <w:rFonts w:ascii="Tahoma" w:hAnsi="Tahoma" w:cs="Tahoma"/>
                        <w:b/>
                        <w:bCs/>
                        <w:sz w:val="14"/>
                        <w:szCs w:val="14"/>
                      </w:rPr>
                      <w:t>02</w:t>
                    </w:r>
                  </w:p>
                  <w:p w14:paraId="2B40D714">
                    <w:pPr>
                      <w:rPr>
                        <w:rFonts w:ascii="Tahoma" w:hAnsi="Tahoma" w:cs="Tahoma"/>
                        <w:sz w:val="14"/>
                        <w:szCs w:val="14"/>
                      </w:rPr>
                    </w:pPr>
                    <w:r>
                      <w:rPr>
                        <w:rFonts w:ascii="Tahoma" w:hAnsi="Tahoma" w:cs="Tahoma"/>
                        <w:sz w:val="14"/>
                        <w:szCs w:val="14"/>
                      </w:rPr>
                      <w:t xml:space="preserve">REVISION  : </w:t>
                    </w:r>
                    <w:r>
                      <w:rPr>
                        <w:rFonts w:ascii="Tahoma" w:hAnsi="Tahoma" w:cs="Tahoma"/>
                        <w:b/>
                        <w:bCs/>
                        <w:sz w:val="14"/>
                        <w:szCs w:val="14"/>
                      </w:rPr>
                      <w:t>01</w:t>
                    </w:r>
                  </w:p>
                  <w:p w14:paraId="21E07959">
                    <w:pPr>
                      <w:rPr>
                        <w:rFonts w:ascii="Tahoma" w:hAnsi="Tahoma" w:cs="Tahoma"/>
                        <w:sz w:val="14"/>
                        <w:szCs w:val="14"/>
                      </w:rPr>
                    </w:pPr>
                    <w:r>
                      <w:rPr>
                        <w:rFonts w:ascii="Tahoma" w:hAnsi="Tahoma" w:cs="Tahoma"/>
                        <w:sz w:val="14"/>
                        <w:szCs w:val="14"/>
                      </w:rPr>
                      <w:t xml:space="preserve">DATE REV  : </w:t>
                    </w:r>
                    <w:r>
                      <w:rPr>
                        <w:rFonts w:ascii="Tahoma" w:hAnsi="Tahoma" w:cs="Tahoma"/>
                        <w:b/>
                        <w:bCs/>
                        <w:sz w:val="14"/>
                        <w:szCs w:val="14"/>
                      </w:rPr>
                      <w:t>2021 JAN 28</w:t>
                    </w:r>
                  </w:p>
                  <w:p w14:paraId="72206740">
                    <w:pPr>
                      <w:rPr>
                        <w:rFonts w:ascii="Tahoma" w:hAnsi="Tahoma" w:cs="Tahoma"/>
                        <w:sz w:val="14"/>
                        <w:szCs w:val="14"/>
                      </w:rPr>
                    </w:pPr>
                  </w:p>
                </w:txbxContent>
              </v:textbox>
            </v:shape>
          </w:pict>
        </mc:Fallback>
      </mc:AlternateContent>
    </w:r>
    <w:r>
      <mc:AlternateContent>
        <mc:Choice Requires="wps">
          <w:drawing>
            <wp:anchor distT="0" distB="0" distL="114935" distR="114935" simplePos="0" relativeHeight="251659264" behindDoc="1" locked="0" layoutInCell="0" allowOverlap="1">
              <wp:simplePos x="0" y="0"/>
              <wp:positionH relativeFrom="margin">
                <wp:posOffset>3683635</wp:posOffset>
              </wp:positionH>
              <wp:positionV relativeFrom="paragraph">
                <wp:posOffset>635</wp:posOffset>
              </wp:positionV>
              <wp:extent cx="1447800" cy="572135"/>
              <wp:effectExtent l="0" t="0" r="0" b="0"/>
              <wp:wrapNone/>
              <wp:docPr id="3" name="Frame2"/>
              <wp:cNvGraphicFramePr/>
              <a:graphic xmlns:a="http://schemas.openxmlformats.org/drawingml/2006/main">
                <a:graphicData uri="http://schemas.microsoft.com/office/word/2010/wordprocessingShape">
                  <wps:wsp>
                    <wps:cNvSpPr txBox="1"/>
                    <wps:spPr>
                      <a:xfrm>
                        <a:off x="0" y="0"/>
                        <a:ext cx="1447800" cy="572135"/>
                      </a:xfrm>
                      <a:prstGeom prst="rect">
                        <a:avLst/>
                      </a:prstGeom>
                      <a:solidFill>
                        <a:srgbClr val="FFFFFF"/>
                      </a:solidFill>
                      <a:ln w="9525">
                        <a:solidFill>
                          <a:srgbClr val="000000"/>
                        </a:solidFill>
                      </a:ln>
                    </wps:spPr>
                    <wps:txbx>
                      <w:txbxContent>
                        <w:p w14:paraId="0D6DDF16">
                          <w:pPr>
                            <w:rPr>
                              <w:rFonts w:ascii="Tahoma" w:hAnsi="Tahoma" w:cs="Tahoma"/>
                              <w:sz w:val="12"/>
                              <w:szCs w:val="12"/>
                            </w:rPr>
                          </w:pPr>
                          <w:r>
                            <w:rPr>
                              <w:rFonts w:ascii="Tahoma" w:hAnsi="Tahoma" w:cs="Tahoma"/>
                              <w:sz w:val="12"/>
                              <w:szCs w:val="12"/>
                            </w:rPr>
                            <w:t>TITLE</w:t>
                          </w:r>
                        </w:p>
                        <w:p w14:paraId="449375E9">
                          <w:pPr>
                            <w:jc w:val="center"/>
                            <w:rPr>
                              <w:rFonts w:ascii="Tahoma" w:hAnsi="Tahoma" w:cs="Tahoma"/>
                              <w:b/>
                              <w:bCs/>
                              <w:sz w:val="16"/>
                              <w:szCs w:val="16"/>
                            </w:rPr>
                          </w:pPr>
                          <w:r>
                            <w:rPr>
                              <w:rFonts w:ascii="Tahoma" w:hAnsi="Tahoma" w:cs="Tahoma"/>
                              <w:b/>
                              <w:bCs/>
                              <w:sz w:val="16"/>
                              <w:szCs w:val="16"/>
                            </w:rPr>
                            <w:t xml:space="preserve">QUOTATION </w:t>
                          </w:r>
                        </w:p>
                      </w:txbxContent>
                    </wps:txbx>
                    <wps:bodyPr lIns="91440" tIns="45720" rIns="91440" bIns="45720" anchor="t">
                      <a:noAutofit/>
                    </wps:bodyPr>
                  </wps:wsp>
                </a:graphicData>
              </a:graphic>
            </wp:anchor>
          </w:drawing>
        </mc:Choice>
        <mc:Fallback>
          <w:pict>
            <v:shape id="Frame2" o:spid="_x0000_s1026" o:spt="202" type="#_x0000_t202" style="position:absolute;left:0pt;margin-left:290.05pt;margin-top:0.05pt;height:45.05pt;width:114pt;mso-position-horizontal-relative:margin;z-index:-251657216;mso-width-relative:page;mso-height-relative:page;" fillcolor="#FFFFFF" filled="t" stroked="t" coordsize="21600,21600" o:allowincell="f" o:gfxdata="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4W4UTVAAAABwEAAA8AAAAAAAAA&#10;AQAgAAAAIgAAAGRycy9kb3ducmV2LnhtbFBLAQIUABQAAAAIAIdO4kCM7/F+2wEAAPEDAAAOAAAA&#10;AAAAAAEAIAAAACQBAABkcnMvZTJvRG9jLnhtbFBLBQYAAAAABgAGAFkBAABxBQAAAAA=&#10;">
              <v:fill on="t" focussize="0,0"/>
              <v:stroke color="#000000" joinstyle="round"/>
              <v:imagedata o:title=""/>
              <o:lock v:ext="edit" aspectratio="f"/>
              <v:textbox>
                <w:txbxContent>
                  <w:p w14:paraId="0D6DDF16">
                    <w:pPr>
                      <w:rPr>
                        <w:rFonts w:ascii="Tahoma" w:hAnsi="Tahoma" w:cs="Tahoma"/>
                        <w:sz w:val="12"/>
                        <w:szCs w:val="12"/>
                      </w:rPr>
                    </w:pPr>
                    <w:r>
                      <w:rPr>
                        <w:rFonts w:ascii="Tahoma" w:hAnsi="Tahoma" w:cs="Tahoma"/>
                        <w:sz w:val="12"/>
                        <w:szCs w:val="12"/>
                      </w:rPr>
                      <w:t>TITLE</w:t>
                    </w:r>
                  </w:p>
                  <w:p w14:paraId="449375E9">
                    <w:pPr>
                      <w:jc w:val="center"/>
                      <w:rPr>
                        <w:rFonts w:ascii="Tahoma" w:hAnsi="Tahoma" w:cs="Tahoma"/>
                        <w:b/>
                        <w:bCs/>
                        <w:sz w:val="16"/>
                        <w:szCs w:val="16"/>
                      </w:rPr>
                    </w:pPr>
                    <w:r>
                      <w:rPr>
                        <w:rFonts w:ascii="Tahoma" w:hAnsi="Tahoma" w:cs="Tahoma"/>
                        <w:b/>
                        <w:bCs/>
                        <w:sz w:val="16"/>
                        <w:szCs w:val="16"/>
                      </w:rPr>
                      <w:t xml:space="preserve">QUOTATION </w:t>
                    </w:r>
                  </w:p>
                </w:txbxContent>
              </v:textbox>
            </v:shape>
          </w:pict>
        </mc:Fallback>
      </mc:AlternateContent>
    </w:r>
  </w:p>
  <w:p w14:paraId="1EC26EFF">
    <w:pPr>
      <w:pStyle w:val="14"/>
      <w:rPr>
        <w:rFonts w:ascii="Tahoma" w:hAnsi="Tahoma" w:cs="Tahoma"/>
        <w:sz w:val="14"/>
        <w:szCs w:val="14"/>
      </w:rPr>
    </w:pPr>
    <w:r>
      <w:rPr>
        <w:rFonts w:ascii="Tahoma" w:hAnsi="Tahoma" w:eastAsia="Tahoma" w:cs="Tahoma"/>
        <w:sz w:val="14"/>
        <w:szCs w:val="14"/>
      </w:rPr>
      <w:t xml:space="preserve">                           </w:t>
    </w:r>
    <w:r>
      <w:rPr>
        <w:rFonts w:ascii="Tahoma" w:hAnsi="Tahoma" w:cs="Tahoma"/>
        <w:sz w:val="14"/>
        <w:szCs w:val="14"/>
      </w:rPr>
      <w:t>9 M. SANTOS ST. TUKTUKTAN TAGUIG CITY, 1637, PH</w:t>
    </w:r>
  </w:p>
  <w:p w14:paraId="5F02CD81">
    <w:pPr>
      <w:pStyle w:val="14"/>
      <w:rPr>
        <w:rFonts w:ascii="Tahoma" w:hAnsi="Tahoma" w:cs="Tahoma"/>
        <w:sz w:val="14"/>
        <w:szCs w:val="14"/>
      </w:rPr>
    </w:pPr>
    <w:r>
      <w:rPr>
        <w:rFonts w:ascii="Tahoma" w:hAnsi="Tahoma" w:eastAsia="Tahoma" w:cs="Tahoma"/>
        <w:sz w:val="14"/>
        <w:szCs w:val="14"/>
      </w:rPr>
      <w:t xml:space="preserve">                           </w:t>
    </w:r>
    <w:r>
      <w:rPr>
        <w:rFonts w:ascii="Tahoma" w:hAnsi="Tahoma" w:cs="Tahoma"/>
        <w:sz w:val="14"/>
        <w:szCs w:val="14"/>
      </w:rPr>
      <w:t>inquiry@scientificstandards.com.ph / stdcalib@yahoo.com</w:t>
    </w:r>
  </w:p>
  <w:p w14:paraId="5B28CB10">
    <w:pPr>
      <w:pStyle w:val="14"/>
      <w:rPr>
        <w:rFonts w:ascii="Tahoma" w:hAnsi="Tahoma" w:cs="Tahoma"/>
        <w:sz w:val="14"/>
        <w:szCs w:val="14"/>
      </w:rPr>
    </w:pPr>
    <w:r>
      <w:rPr>
        <w:rFonts w:ascii="Tahoma" w:hAnsi="Tahoma" w:eastAsia="Tahoma" w:cs="Tahoma"/>
        <w:sz w:val="14"/>
        <w:szCs w:val="14"/>
      </w:rPr>
      <w:t xml:space="preserve">                           </w:t>
    </w:r>
    <w:r>
      <w:rPr>
        <w:rFonts w:ascii="Tahoma" w:hAnsi="Tahoma" w:cs="Tahoma"/>
        <w:sz w:val="14"/>
        <w:szCs w:val="14"/>
      </w:rPr>
      <w:t>02-8642-3695 | 02-86423373 | 02-8628-2410</w:t>
    </w:r>
  </w:p>
  <w:p w14:paraId="05B8A900">
    <w:pPr>
      <w:pStyle w:val="14"/>
      <w:rPr>
        <w:rFonts w:ascii="Tahoma" w:hAnsi="Tahoma" w:cs="Tahoma"/>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0"/>
        </w:tabs>
        <w:ind w:left="420" w:hanging="405"/>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pStyle w:val="3"/>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pStyle w:val="4"/>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pStyle w:val="5"/>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autoHyphenation/>
  <w:compat>
    <w:compatSetting w:name="compatibilityMode" w:uri="http://schemas.microsoft.com/office/word" w:val="11"/>
  </w:compat>
  <w:rsids>
    <w:rsidRoot w:val="00000000"/>
    <w:rsid w:val="07D86ADD"/>
    <w:rsid w:val="710423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Times New Roman" w:cs="Calibri"/>
      <w:color w:val="auto"/>
      <w:sz w:val="20"/>
      <w:szCs w:val="20"/>
      <w:lang w:val="en-US" w:eastAsia="ar-SA" w:bidi="ar-SA"/>
    </w:rPr>
  </w:style>
  <w:style w:type="paragraph" w:styleId="2">
    <w:name w:val="heading 1"/>
    <w:basedOn w:val="1"/>
    <w:next w:val="1"/>
    <w:qFormat/>
    <w:uiPriority w:val="0"/>
    <w:pPr>
      <w:keepNext/>
      <w:numPr>
        <w:ilvl w:val="0"/>
        <w:numId w:val="1"/>
      </w:numPr>
      <w:ind w:left="432" w:right="0" w:hanging="432"/>
      <w:jc w:val="both"/>
      <w:outlineLvl w:val="0"/>
    </w:pPr>
    <w:rPr>
      <w:rFonts w:cs="Times New Roman"/>
      <w:sz w:val="24"/>
    </w:rPr>
  </w:style>
  <w:style w:type="paragraph" w:styleId="3">
    <w:name w:val="heading 4"/>
    <w:basedOn w:val="1"/>
    <w:next w:val="1"/>
    <w:qFormat/>
    <w:uiPriority w:val="0"/>
    <w:pPr>
      <w:keepNext/>
      <w:numPr>
        <w:ilvl w:val="3"/>
        <w:numId w:val="1"/>
      </w:numPr>
      <w:spacing w:before="240" w:after="60"/>
      <w:outlineLvl w:val="3"/>
    </w:pPr>
    <w:rPr>
      <w:rFonts w:cs="Times New Roman"/>
      <w:b/>
      <w:bCs/>
      <w:sz w:val="28"/>
      <w:szCs w:val="28"/>
    </w:rPr>
  </w:style>
  <w:style w:type="paragraph" w:styleId="4">
    <w:name w:val="heading 6"/>
    <w:basedOn w:val="1"/>
    <w:next w:val="1"/>
    <w:qFormat/>
    <w:uiPriority w:val="0"/>
    <w:pPr>
      <w:numPr>
        <w:ilvl w:val="5"/>
        <w:numId w:val="1"/>
      </w:numPr>
      <w:spacing w:before="240" w:after="60"/>
      <w:outlineLvl w:val="5"/>
    </w:pPr>
    <w:rPr>
      <w:rFonts w:cs="Times New Roman"/>
      <w:b/>
      <w:bCs/>
      <w:sz w:val="22"/>
      <w:szCs w:val="22"/>
    </w:rPr>
  </w:style>
  <w:style w:type="paragraph" w:styleId="5">
    <w:name w:val="heading 8"/>
    <w:basedOn w:val="1"/>
    <w:next w:val="1"/>
    <w:qFormat/>
    <w:uiPriority w:val="0"/>
    <w:pPr>
      <w:keepNext/>
      <w:numPr>
        <w:ilvl w:val="7"/>
        <w:numId w:val="1"/>
      </w:numPr>
      <w:outlineLvl w:val="7"/>
    </w:pPr>
    <w:rPr>
      <w:rFonts w:cs="Times New Roman"/>
      <w:sz w:val="24"/>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alloon Text"/>
    <w:basedOn w:val="1"/>
    <w:qFormat/>
    <w:uiPriority w:val="0"/>
    <w:pPr>
      <w:spacing w:before="0" w:after="0" w:line="240" w:lineRule="auto"/>
    </w:pPr>
    <w:rPr>
      <w:rFonts w:ascii="Tahoma" w:hAnsi="Tahoma" w:eastAsia="Calibri" w:cs="Times New Roman"/>
      <w:sz w:val="16"/>
      <w:szCs w:val="16"/>
    </w:rPr>
  </w:style>
  <w:style w:type="paragraph" w:styleId="9">
    <w:name w:val="Body Text"/>
    <w:basedOn w:val="1"/>
    <w:qFormat/>
    <w:uiPriority w:val="0"/>
    <w:pPr>
      <w:spacing w:before="0" w:after="140" w:line="276" w:lineRule="auto"/>
    </w:pPr>
  </w:style>
  <w:style w:type="paragraph" w:styleId="10">
    <w:name w:val="Body Text Indent"/>
    <w:basedOn w:val="1"/>
    <w:qFormat/>
    <w:uiPriority w:val="0"/>
    <w:pPr>
      <w:ind w:left="720" w:right="0" w:hanging="720"/>
      <w:jc w:val="both"/>
    </w:pPr>
    <w:rPr>
      <w:rFonts w:cs="Times New Roman"/>
      <w:sz w:val="24"/>
    </w:rPr>
  </w:style>
  <w:style w:type="paragraph" w:styleId="11">
    <w:name w:val="caption"/>
    <w:basedOn w:val="1"/>
    <w:next w:val="1"/>
    <w:qFormat/>
    <w:uiPriority w:val="0"/>
    <w:pPr>
      <w:jc w:val="both"/>
    </w:pPr>
    <w:rPr>
      <w:rFonts w:cs="Times New Roman"/>
      <w:sz w:val="24"/>
      <w:lang w:eastAsia="zh-CN"/>
    </w:rPr>
  </w:style>
  <w:style w:type="character" w:styleId="12">
    <w:name w:val="Emphasis"/>
    <w:qFormat/>
    <w:uiPriority w:val="0"/>
    <w:rPr>
      <w:i/>
      <w:iCs/>
    </w:rPr>
  </w:style>
  <w:style w:type="paragraph" w:styleId="13">
    <w:name w:val="footer"/>
    <w:basedOn w:val="1"/>
    <w:qFormat/>
    <w:uiPriority w:val="0"/>
    <w:pPr>
      <w:tabs>
        <w:tab w:val="center" w:pos="4680"/>
        <w:tab w:val="right" w:pos="9360"/>
      </w:tabs>
      <w:spacing w:before="0" w:after="0" w:line="240" w:lineRule="auto"/>
    </w:pPr>
  </w:style>
  <w:style w:type="paragraph" w:styleId="14">
    <w:name w:val="header"/>
    <w:basedOn w:val="1"/>
    <w:qFormat/>
    <w:uiPriority w:val="0"/>
    <w:pPr>
      <w:tabs>
        <w:tab w:val="center" w:pos="4680"/>
        <w:tab w:val="right" w:pos="9360"/>
      </w:tabs>
      <w:spacing w:before="0" w:after="0" w:line="240" w:lineRule="auto"/>
    </w:pPr>
  </w:style>
  <w:style w:type="character" w:styleId="15">
    <w:name w:val="Hyperlink"/>
    <w:qFormat/>
    <w:uiPriority w:val="0"/>
    <w:rPr>
      <w:color w:val="0000FF"/>
      <w:u w:val="single"/>
    </w:rPr>
  </w:style>
  <w:style w:type="paragraph" w:styleId="16">
    <w:name w:val="List"/>
    <w:basedOn w:val="9"/>
    <w:qFormat/>
    <w:uiPriority w:val="0"/>
    <w:rPr>
      <w:rFonts w:cs="FreeSans"/>
    </w:rPr>
  </w:style>
  <w:style w:type="character" w:customStyle="1" w:styleId="17">
    <w:name w:val="Heading 1 Char"/>
    <w:qFormat/>
    <w:uiPriority w:val="0"/>
    <w:rPr>
      <w:rFonts w:ascii="Times New Roman" w:hAnsi="Times New Roman" w:eastAsia="Times New Roman" w:cs="Calibri"/>
      <w:sz w:val="24"/>
      <w:lang w:eastAsia="ar-SA"/>
    </w:rPr>
  </w:style>
  <w:style w:type="character" w:customStyle="1" w:styleId="18">
    <w:name w:val="Heading 4 Char"/>
    <w:qFormat/>
    <w:uiPriority w:val="0"/>
    <w:rPr>
      <w:rFonts w:ascii="Times New Roman" w:hAnsi="Times New Roman" w:eastAsia="Times New Roman" w:cs="Times New Roman"/>
      <w:b/>
      <w:bCs/>
      <w:sz w:val="28"/>
      <w:szCs w:val="28"/>
      <w:lang w:eastAsia="ar-SA"/>
    </w:rPr>
  </w:style>
  <w:style w:type="character" w:customStyle="1" w:styleId="19">
    <w:name w:val="Heading 6 Char"/>
    <w:qFormat/>
    <w:uiPriority w:val="0"/>
    <w:rPr>
      <w:rFonts w:ascii="Times New Roman" w:hAnsi="Times New Roman" w:eastAsia="Times New Roman" w:cs="Times New Roman"/>
      <w:b/>
      <w:bCs/>
      <w:sz w:val="22"/>
      <w:szCs w:val="22"/>
      <w:lang w:eastAsia="ar-SA"/>
    </w:rPr>
  </w:style>
  <w:style w:type="character" w:customStyle="1" w:styleId="20">
    <w:name w:val="Heading 8 Char"/>
    <w:qFormat/>
    <w:uiPriority w:val="0"/>
    <w:rPr>
      <w:rFonts w:ascii="Times New Roman" w:hAnsi="Times New Roman" w:eastAsia="Times New Roman" w:cs="Times New Roman"/>
      <w:sz w:val="24"/>
      <w:lang w:eastAsia="ar-SA"/>
    </w:rPr>
  </w:style>
  <w:style w:type="character" w:customStyle="1" w:styleId="21">
    <w:name w:val="Balloon Text Char"/>
    <w:qFormat/>
    <w:uiPriority w:val="0"/>
    <w:rPr>
      <w:rFonts w:ascii="Tahoma" w:hAnsi="Tahoma" w:cs="Tahoma"/>
      <w:sz w:val="16"/>
      <w:szCs w:val="16"/>
    </w:rPr>
  </w:style>
  <w:style w:type="character" w:customStyle="1" w:styleId="22">
    <w:name w:val="Body Text Indent Char"/>
    <w:qFormat/>
    <w:uiPriority w:val="0"/>
    <w:rPr>
      <w:rFonts w:ascii="Times New Roman" w:hAnsi="Times New Roman" w:eastAsia="Times New Roman" w:cs="Calibri"/>
      <w:sz w:val="24"/>
      <w:lang w:eastAsia="ar-SA"/>
    </w:rPr>
  </w:style>
  <w:style w:type="character" w:customStyle="1" w:styleId="23">
    <w:name w:val="Footer Char"/>
    <w:basedOn w:val="6"/>
    <w:qFormat/>
    <w:uiPriority w:val="0"/>
  </w:style>
  <w:style w:type="character" w:customStyle="1" w:styleId="24">
    <w:name w:val="Header Char"/>
    <w:basedOn w:val="6"/>
    <w:qFormat/>
    <w:uiPriority w:val="0"/>
  </w:style>
  <w:style w:type="character" w:customStyle="1" w:styleId="25">
    <w:name w:val="WW8Num1z0"/>
    <w:qFormat/>
    <w:uiPriority w:val="0"/>
  </w:style>
  <w:style w:type="paragraph" w:customStyle="1" w:styleId="26">
    <w:name w:val="Heading"/>
    <w:basedOn w:val="1"/>
    <w:next w:val="9"/>
    <w:qFormat/>
    <w:uiPriority w:val="0"/>
    <w:pPr>
      <w:keepNext/>
      <w:spacing w:before="240" w:after="120"/>
    </w:pPr>
    <w:rPr>
      <w:rFonts w:ascii="Liberation Sans" w:hAnsi="Liberation Sans" w:eastAsia="Noto Sans CJK SC" w:cs="FreeSans"/>
      <w:sz w:val="28"/>
      <w:szCs w:val="28"/>
    </w:rPr>
  </w:style>
  <w:style w:type="paragraph" w:customStyle="1" w:styleId="27">
    <w:name w:val="Index"/>
    <w:basedOn w:val="1"/>
    <w:qFormat/>
    <w:uiPriority w:val="0"/>
    <w:pPr>
      <w:suppressLineNumbers/>
    </w:pPr>
    <w:rPr>
      <w:rFonts w:cs="FreeSans"/>
    </w:rPr>
  </w:style>
  <w:style w:type="paragraph" w:customStyle="1" w:styleId="28">
    <w:name w:val="Header and Footer"/>
    <w:basedOn w:val="1"/>
    <w:qFormat/>
    <w:uiPriority w:val="0"/>
    <w:pPr>
      <w:suppressLineNumbers/>
      <w:tabs>
        <w:tab w:val="center" w:pos="4819"/>
        <w:tab w:val="right" w:pos="9638"/>
      </w:tabs>
    </w:pPr>
  </w:style>
  <w:style w:type="paragraph" w:styleId="29">
    <w:name w:val="No Spacing"/>
    <w:qFormat/>
    <w:uiPriority w:val="0"/>
    <w:pPr>
      <w:widowControl/>
      <w:suppressAutoHyphens/>
      <w:bidi w:val="0"/>
    </w:pPr>
    <w:rPr>
      <w:rFonts w:ascii="Times New Roman" w:hAnsi="Times New Roman" w:eastAsia="Times New Roman" w:cs="Calibri"/>
      <w:color w:val="auto"/>
      <w:sz w:val="20"/>
      <w:szCs w:val="20"/>
      <w:lang w:val="en-US" w:eastAsia="ar-SA" w:bidi="ar-SA"/>
    </w:rPr>
  </w:style>
  <w:style w:type="paragraph" w:styleId="30">
    <w:name w:val="List Paragraph"/>
    <w:basedOn w:val="1"/>
    <w:qFormat/>
    <w:uiPriority w:val="0"/>
    <w:pPr>
      <w:ind w:left="720" w:right="0" w:firstLine="0"/>
    </w:pPr>
  </w:style>
  <w:style w:type="paragraph" w:customStyle="1" w:styleId="31">
    <w:name w:val="Table Contents"/>
    <w:basedOn w:val="1"/>
    <w:qFormat/>
    <w:uiPriority w:val="0"/>
    <w:pPr>
      <w:widowControl w:val="0"/>
      <w:suppressLineNumbers/>
    </w:pPr>
  </w:style>
  <w:style w:type="paragraph" w:customStyle="1" w:styleId="32">
    <w:name w:val="Table Heading"/>
    <w:basedOn w:val="31"/>
    <w:qFormat/>
    <w:uiPriority w:val="0"/>
    <w:pPr>
      <w:suppressLineNumbers/>
      <w:jc w:val="center"/>
    </w:pPr>
    <w:rPr>
      <w:b/>
      <w:bCs/>
    </w:rPr>
  </w:style>
  <w:style w:type="paragraph" w:customStyle="1" w:styleId="33">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LetterHead_Template_Nov2011</Template>
  <Pages>2</Pages>
  <Words>279</Words>
  <Characters>1533</Characters>
  <TotalTime>2</TotalTime>
  <ScaleCrop>false</ScaleCrop>
  <LinksUpToDate>false</LinksUpToDate>
  <CharactersWithSpaces>2188</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2026-07-21T13:22:00Z</dcterms:created>
  <dc:creator>ryoma</dc:creator>
  <cp:lastModifiedBy>Joshua Ongay</cp:lastModifiedBy>
  <dcterms:modified xsi:type="dcterms:W3CDTF">2026-07-21T13:35:16Z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EFA1607F73EC4DD59CB923531C4E7D5A_13</vt:lpwstr>
  </property>
  <property fmtid="{D5CDD505-2E9C-101B-9397-08002B2CF9AE}" pid="3" name="KSOProductBuildVer">
    <vt:lpwstr>1033-12.1.0.27458</vt:lpwstr>
  </property>
  <property fmtid="{D5CDD505-2E9C-101B-9397-08002B2CF9AE}" pid="4" name="KSOTemplateDocerSaveRecord">
    <vt:lpwstr>eyJoZGlkIjoiMmQwY2MyM2IzODFiOGZhZWRhMzQ5NGUxY2IzZDZlNDQiLCJ1c2VySWQiOiI4ODEzNzY3MTI1MzQxIn0=</vt:lpwstr>
  </property>
</Properties>
</file>