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4BF7" w14:textId="68ED3708" w:rsidR="00E87D5E" w:rsidRPr="00195565" w:rsidRDefault="00CB0111">
      <w:pPr>
        <w:rPr>
          <w:rFonts w:cstheme="minorHAnsi"/>
          <w:sz w:val="28"/>
          <w:szCs w:val="28"/>
          <w:lang w:val="en-CA"/>
        </w:rPr>
      </w:pPr>
      <w:r w:rsidRPr="00195565">
        <w:rPr>
          <w:rFonts w:cstheme="minorHAnsi"/>
          <w:sz w:val="28"/>
          <w:szCs w:val="28"/>
          <w:lang w:val="en-CA"/>
        </w:rPr>
        <w:t>Statistics – chapter 3</w:t>
      </w:r>
    </w:p>
    <w:p w14:paraId="6F651EF8" w14:textId="1D6E656A" w:rsidR="00CB0111" w:rsidRPr="00856C5E" w:rsidRDefault="00CB0111">
      <w:pPr>
        <w:rPr>
          <w:rFonts w:cstheme="minorHAnsi"/>
          <w:b/>
          <w:bCs/>
          <w:sz w:val="28"/>
          <w:szCs w:val="28"/>
          <w:lang w:val="en-CA"/>
        </w:rPr>
      </w:pPr>
      <w:r w:rsidRPr="00856C5E">
        <w:rPr>
          <w:rFonts w:cstheme="minorHAnsi"/>
          <w:b/>
          <w:bCs/>
          <w:sz w:val="28"/>
          <w:szCs w:val="28"/>
          <w:lang w:val="en-CA"/>
        </w:rPr>
        <w:t>The association between two categorical vars – the contingency table</w:t>
      </w:r>
    </w:p>
    <w:p w14:paraId="2F355D2A" w14:textId="6D345008" w:rsidR="00CB0111" w:rsidRPr="00856C5E" w:rsidRDefault="009D4991">
      <w:pPr>
        <w:rPr>
          <w:rFonts w:cstheme="minorHAnsi"/>
          <w:sz w:val="24"/>
          <w:szCs w:val="24"/>
          <w:lang w:val="en-CA"/>
        </w:rPr>
      </w:pPr>
      <w:r w:rsidRPr="00856C5E">
        <w:rPr>
          <w:rFonts w:cstheme="minorHAnsi"/>
          <w:sz w:val="24"/>
          <w:szCs w:val="24"/>
          <w:lang w:val="en-CA"/>
        </w:rPr>
        <w:t xml:space="preserve">The aim is to explore the </w:t>
      </w:r>
      <w:r w:rsidRPr="00856C5E">
        <w:rPr>
          <w:rFonts w:cstheme="minorHAnsi"/>
          <w:b/>
          <w:bCs/>
          <w:sz w:val="24"/>
          <w:szCs w:val="24"/>
          <w:lang w:val="en-CA"/>
        </w:rPr>
        <w:t>relationship</w:t>
      </w:r>
      <w:r w:rsidRPr="00856C5E">
        <w:rPr>
          <w:rFonts w:cstheme="minorHAnsi"/>
          <w:sz w:val="24"/>
          <w:szCs w:val="24"/>
          <w:lang w:val="en-CA"/>
        </w:rPr>
        <w:t>, if any, between the variables</w:t>
      </w:r>
    </w:p>
    <w:p w14:paraId="0AEF3F71" w14:textId="611EFCCA" w:rsidR="009D4991" w:rsidRPr="00856C5E" w:rsidRDefault="009D4991">
      <w:pPr>
        <w:rPr>
          <w:rFonts w:cstheme="minorHAnsi"/>
          <w:b/>
          <w:bCs/>
          <w:sz w:val="24"/>
          <w:szCs w:val="24"/>
          <w:lang w:val="en-CA"/>
        </w:rPr>
      </w:pPr>
      <w:r w:rsidRPr="00856C5E">
        <w:rPr>
          <w:rFonts w:cstheme="minorHAnsi"/>
          <w:b/>
          <w:bCs/>
          <w:sz w:val="24"/>
          <w:szCs w:val="24"/>
          <w:lang w:val="en-CA"/>
        </w:rPr>
        <w:t xml:space="preserve">An association </w:t>
      </w:r>
      <w:r w:rsidRPr="00856C5E">
        <w:rPr>
          <w:rFonts w:cstheme="minorHAnsi"/>
          <w:sz w:val="24"/>
          <w:szCs w:val="24"/>
          <w:lang w:val="en-CA"/>
        </w:rPr>
        <w:t xml:space="preserve">(aka, dependence) </w:t>
      </w:r>
      <w:r w:rsidRPr="00856C5E">
        <w:rPr>
          <w:rFonts w:cstheme="minorHAnsi"/>
          <w:b/>
          <w:bCs/>
          <w:sz w:val="24"/>
          <w:szCs w:val="24"/>
          <w:lang w:val="en-CA"/>
        </w:rPr>
        <w:t>between two vars exists if a particular value for one var is more likely to occur with certain values of the other var</w:t>
      </w:r>
    </w:p>
    <w:p w14:paraId="6EA9BC9D" w14:textId="269EA19D" w:rsidR="009D4991" w:rsidRPr="00856C5E" w:rsidRDefault="009D4991" w:rsidP="009D49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856C5E">
        <w:rPr>
          <w:rFonts w:asciiTheme="minorHAnsi" w:hAnsiTheme="minorHAnsi" w:cstheme="minorHAnsi"/>
          <w:lang w:val="en-CA"/>
        </w:rPr>
        <w:t>Such associations can be explored via:</w:t>
      </w:r>
      <w:r w:rsidR="00856C5E">
        <w:rPr>
          <w:rFonts w:asciiTheme="minorHAnsi" w:hAnsiTheme="minorHAnsi" w:cstheme="minorHAnsi"/>
          <w:lang w:val="en-CA"/>
        </w:rPr>
        <w:t xml:space="preserve"> (not explored in this chapter)</w:t>
      </w:r>
    </w:p>
    <w:p w14:paraId="5C77EF1C" w14:textId="77777777" w:rsidR="009D4991" w:rsidRPr="00856C5E" w:rsidRDefault="009D4991" w:rsidP="009D49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856C5E">
        <w:rPr>
          <w:rFonts w:asciiTheme="minorHAnsi" w:hAnsiTheme="minorHAnsi" w:cstheme="minorHAnsi"/>
          <w:b/>
          <w:bCs/>
          <w:lang w:val="en-CA"/>
        </w:rPr>
        <w:t>cross-tabulation</w:t>
      </w:r>
      <w:r w:rsidRPr="00856C5E">
        <w:rPr>
          <w:rFonts w:asciiTheme="minorHAnsi" w:hAnsiTheme="minorHAnsi" w:cstheme="minorHAnsi"/>
          <w:lang w:val="en-CA"/>
        </w:rPr>
        <w:t xml:space="preserve"> and/or,</w:t>
      </w:r>
    </w:p>
    <w:p w14:paraId="2223515A" w14:textId="0B0BBDAB" w:rsidR="009D4991" w:rsidRPr="00856C5E" w:rsidRDefault="009D4991" w:rsidP="009D49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lang w:val="en-CA"/>
        </w:rPr>
      </w:pPr>
      <w:r w:rsidRPr="00856C5E">
        <w:rPr>
          <w:rFonts w:asciiTheme="minorHAnsi" w:hAnsiTheme="minorHAnsi" w:cstheme="minorHAnsi"/>
          <w:b/>
          <w:bCs/>
        </w:rPr>
        <w:t>the chi-square test</w:t>
      </w:r>
    </w:p>
    <w:p w14:paraId="1A663BCA" w14:textId="4D516376" w:rsidR="009D4991" w:rsidRPr="00856C5E" w:rsidRDefault="009D4991" w:rsidP="009D4991">
      <w:pPr>
        <w:spacing w:after="0"/>
        <w:rPr>
          <w:rFonts w:cstheme="minorHAnsi"/>
          <w:sz w:val="24"/>
          <w:szCs w:val="24"/>
          <w:lang w:val="en-CA"/>
        </w:rPr>
      </w:pPr>
    </w:p>
    <w:p w14:paraId="466181CE" w14:textId="6C2A5914" w:rsidR="009D4991" w:rsidRPr="00856C5E" w:rsidRDefault="00856C5E">
      <w:pPr>
        <w:rPr>
          <w:rFonts w:cstheme="minorHAnsi"/>
          <w:b/>
          <w:bCs/>
          <w:i/>
          <w:iCs/>
          <w:sz w:val="24"/>
          <w:szCs w:val="24"/>
          <w:lang w:val="en-CA"/>
        </w:rPr>
      </w:pPr>
      <w:r w:rsidRPr="00856C5E">
        <w:rPr>
          <w:rFonts w:cstheme="minorHAnsi"/>
          <w:b/>
          <w:bCs/>
          <w:i/>
          <w:iCs/>
          <w:sz w:val="24"/>
          <w:szCs w:val="24"/>
          <w:lang w:val="en-CA"/>
        </w:rPr>
        <w:t>Explanatory and Response variables</w:t>
      </w:r>
    </w:p>
    <w:p w14:paraId="048F594E" w14:textId="7B1AA789" w:rsidR="00856C5E" w:rsidRDefault="00856C5E" w:rsidP="00856C5E">
      <w:p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An </w:t>
      </w:r>
      <w:r w:rsidRPr="00856C5E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explanatory variable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what you manipulate or observe changes in (e.g., caffeine dose)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, this is aka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expected cause (or result explaining variable) - Independent</w:t>
      </w:r>
    </w:p>
    <w:p w14:paraId="592DB1F4" w14:textId="3D56C617" w:rsidR="00856C5E" w:rsidRPr="00856C5E" w:rsidRDefault="00856C5E" w:rsidP="00856C5E">
      <w:pPr>
        <w:spacing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A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</w:t>
      </w:r>
      <w:r w:rsidRPr="00856C5E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response variable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what changes as a result (e.g., reaction times)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, this is aka the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expected effect (or respond to explaining variable)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- Dependent</w:t>
      </w:r>
    </w:p>
    <w:p w14:paraId="4910B741" w14:textId="088BEDC6" w:rsidR="00856C5E" w:rsidRPr="00856C5E" w:rsidRDefault="00856C5E" w:rsidP="00856C5E">
      <w:p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The words “explanatory variable” and “response variable” are often interchangeable with other terms used in research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  <w:gridCol w:w="5699"/>
      </w:tblGrid>
      <w:tr w:rsidR="00856C5E" w:rsidRPr="00856C5E" w14:paraId="4754F865" w14:textId="77777777" w:rsidTr="00856C5E">
        <w:trPr>
          <w:tblHeader/>
        </w:trPr>
        <w:tc>
          <w:tcPr>
            <w:tcW w:w="0" w:type="auto"/>
            <w:tcBorders>
              <w:bottom w:val="nil"/>
            </w:tcBorders>
            <w:hideMark/>
          </w:tcPr>
          <w:p w14:paraId="21531BBF" w14:textId="56C329EB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  <w:t>Cause (what changes)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C5C2DC8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  <w:t>Effect (what’s measured)</w:t>
            </w:r>
          </w:p>
        </w:tc>
      </w:tr>
      <w:tr w:rsidR="00856C5E" w:rsidRPr="00856C5E" w14:paraId="4931A2CB" w14:textId="77777777" w:rsidTr="00856C5E">
        <w:trPr>
          <w:trHeight w:val="353"/>
        </w:trPr>
        <w:tc>
          <w:tcPr>
            <w:tcW w:w="0" w:type="auto"/>
            <w:tcBorders>
              <w:bottom w:val="single" w:sz="6" w:space="0" w:color="EFEEE9"/>
            </w:tcBorders>
            <w:hideMark/>
          </w:tcPr>
          <w:p w14:paraId="21CA1103" w14:textId="77777777" w:rsidR="00856C5E" w:rsidRPr="00856C5E" w:rsidRDefault="00000000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hyperlink r:id="rId5" w:anchor="independent" w:history="1">
              <w:r w:rsidR="00856C5E" w:rsidRPr="00856C5E">
                <w:rPr>
                  <w:rFonts w:eastAsia="Times New Roman" w:cstheme="minorHAnsi"/>
                  <w:kern w:val="0"/>
                  <w:sz w:val="21"/>
                  <w:szCs w:val="21"/>
                  <w:lang w:eastAsia="it-IT"/>
                  <w14:ligatures w14:val="none"/>
                </w:rPr>
                <w:t>Independent variable</w:t>
              </w:r>
            </w:hyperlink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hideMark/>
          </w:tcPr>
          <w:p w14:paraId="5FFB5D28" w14:textId="77777777" w:rsidR="00856C5E" w:rsidRPr="00856C5E" w:rsidRDefault="00000000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hyperlink r:id="rId6" w:anchor="dependent" w:history="1">
              <w:r w:rsidR="00856C5E" w:rsidRPr="00856C5E">
                <w:rPr>
                  <w:rFonts w:eastAsia="Times New Roman" w:cstheme="minorHAnsi"/>
                  <w:kern w:val="0"/>
                  <w:sz w:val="21"/>
                  <w:szCs w:val="21"/>
                  <w:lang w:eastAsia="it-IT"/>
                  <w14:ligatures w14:val="none"/>
                </w:rPr>
                <w:t>Dependent variable</w:t>
              </w:r>
            </w:hyperlink>
          </w:p>
        </w:tc>
      </w:tr>
      <w:tr w:rsidR="00856C5E" w:rsidRPr="00856C5E" w14:paraId="3E2E8E4F" w14:textId="77777777" w:rsidTr="00856C5E">
        <w:trPr>
          <w:trHeight w:val="357"/>
        </w:trPr>
        <w:tc>
          <w:tcPr>
            <w:tcW w:w="0" w:type="auto"/>
            <w:tcBorders>
              <w:bottom w:val="single" w:sz="6" w:space="0" w:color="EFEEE9"/>
            </w:tcBorders>
            <w:hideMark/>
          </w:tcPr>
          <w:p w14:paraId="103F28BB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Predictor variable</w:t>
            </w:r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hideMark/>
          </w:tcPr>
          <w:p w14:paraId="620A3F62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Outcome/criterion variable</w:t>
            </w:r>
          </w:p>
        </w:tc>
      </w:tr>
      <w:tr w:rsidR="00856C5E" w:rsidRPr="00856C5E" w14:paraId="51AE3D75" w14:textId="77777777" w:rsidTr="00856C5E">
        <w:tc>
          <w:tcPr>
            <w:tcW w:w="0" w:type="auto"/>
            <w:tcBorders>
              <w:bottom w:val="nil"/>
            </w:tcBorders>
            <w:hideMark/>
          </w:tcPr>
          <w:p w14:paraId="1B164245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Explanatory variable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3FF9152D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Response variable</w:t>
            </w:r>
          </w:p>
        </w:tc>
      </w:tr>
    </w:tbl>
    <w:p w14:paraId="2FA83CCB" w14:textId="2EAABD35" w:rsidR="00856C5E" w:rsidRDefault="00856C5E">
      <w:pPr>
        <w:rPr>
          <w:rFonts w:cstheme="minorHAnsi"/>
          <w:sz w:val="24"/>
          <w:szCs w:val="24"/>
          <w:lang w:val="en-CA"/>
        </w:rPr>
      </w:pPr>
    </w:p>
    <w:p w14:paraId="6729646E" w14:textId="51857951" w:rsidR="00856C5E" w:rsidRDefault="00856C5E">
      <w:pPr>
        <w:rPr>
          <w:b/>
          <w:bCs/>
          <w:sz w:val="24"/>
          <w:szCs w:val="24"/>
          <w:lang w:val="en-CA"/>
        </w:rPr>
      </w:pPr>
      <w:r w:rsidRPr="00856C5E">
        <w:rPr>
          <w:sz w:val="24"/>
          <w:szCs w:val="24"/>
          <w:lang w:val="en-CA"/>
        </w:rPr>
        <w:t>In general, two variables are independent if the conditional percentage distributions of the</w:t>
      </w:r>
      <w:r>
        <w:rPr>
          <w:sz w:val="24"/>
          <w:szCs w:val="24"/>
          <w:lang w:val="en-CA"/>
        </w:rPr>
        <w:t xml:space="preserve"> </w:t>
      </w:r>
      <w:r w:rsidRPr="00856C5E">
        <w:rPr>
          <w:sz w:val="24"/>
          <w:szCs w:val="24"/>
          <w:lang w:val="en-CA"/>
        </w:rPr>
        <w:t xml:space="preserve">response (given the categories of the explanatory) are </w:t>
      </w:r>
      <w:r w:rsidRPr="00856C5E">
        <w:rPr>
          <w:b/>
          <w:bCs/>
          <w:sz w:val="24"/>
          <w:szCs w:val="24"/>
          <w:lang w:val="en-CA"/>
        </w:rPr>
        <w:t>equal</w:t>
      </w:r>
    </w:p>
    <w:p w14:paraId="0E1D1D85" w14:textId="6BA1CB75" w:rsidR="00195565" w:rsidRDefault="0019556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aim is to analyze the </w:t>
      </w:r>
      <w:r>
        <w:rPr>
          <w:b/>
          <w:bCs/>
          <w:sz w:val="24"/>
          <w:szCs w:val="24"/>
          <w:lang w:val="en-CA"/>
        </w:rPr>
        <w:t xml:space="preserve">conditional probabilities </w:t>
      </w:r>
      <w:r>
        <w:rPr>
          <w:sz w:val="24"/>
          <w:szCs w:val="24"/>
          <w:lang w:val="en-CA"/>
        </w:rPr>
        <w:t>in the contingency tables, we need to find, for each catego</w:t>
      </w:r>
      <w:r w:rsidR="00665479">
        <w:rPr>
          <w:sz w:val="24"/>
          <w:szCs w:val="24"/>
          <w:lang w:val="en-CA"/>
        </w:rPr>
        <w:t xml:space="preserve">ry of the </w:t>
      </w:r>
      <w:r w:rsidR="00665479">
        <w:rPr>
          <w:b/>
          <w:bCs/>
          <w:sz w:val="24"/>
          <w:szCs w:val="24"/>
          <w:lang w:val="en-CA"/>
        </w:rPr>
        <w:t xml:space="preserve">response </w:t>
      </w:r>
      <w:r w:rsidR="00665479">
        <w:rPr>
          <w:sz w:val="24"/>
          <w:szCs w:val="24"/>
          <w:lang w:val="en-CA"/>
        </w:rPr>
        <w:t xml:space="preserve">variable, under which category of the </w:t>
      </w:r>
      <w:r w:rsidR="00665479">
        <w:rPr>
          <w:b/>
          <w:bCs/>
          <w:sz w:val="24"/>
          <w:szCs w:val="24"/>
          <w:lang w:val="en-CA"/>
        </w:rPr>
        <w:t xml:space="preserve">explanatory </w:t>
      </w:r>
      <w:r w:rsidR="00665479">
        <w:rPr>
          <w:sz w:val="24"/>
          <w:szCs w:val="24"/>
          <w:lang w:val="en-CA"/>
        </w:rPr>
        <w:t>variable its percentage is greater than the corresponding marginal</w:t>
      </w:r>
    </w:p>
    <w:p w14:paraId="6D543BF6" w14:textId="37A0FA98" w:rsidR="00856C5E" w:rsidRDefault="00665479">
      <w:pPr>
        <w:rPr>
          <w:rFonts w:cstheme="minorHAnsi"/>
          <w:sz w:val="24"/>
          <w:szCs w:val="24"/>
          <w:lang w:val="en-CA"/>
        </w:rPr>
      </w:pPr>
      <w:r w:rsidRPr="00665479">
        <w:rPr>
          <w:rFonts w:cstheme="minorHAnsi"/>
          <w:noProof/>
          <w:sz w:val="24"/>
          <w:szCs w:val="24"/>
          <w:lang w:val="en-CA"/>
        </w:rPr>
        <w:drawing>
          <wp:inline distT="0" distB="0" distL="0" distR="0" wp14:anchorId="4A579CFC" wp14:editId="09EBD6ED">
            <wp:extent cx="6120130" cy="2347595"/>
            <wp:effectExtent l="0" t="0" r="0" b="0"/>
            <wp:docPr id="162240604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06041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12DB" w14:textId="4BFAA6EA" w:rsidR="008646E3" w:rsidRDefault="008646E3" w:rsidP="008646E3">
      <w:pPr>
        <w:rPr>
          <w:rFonts w:cstheme="minorHAnsi"/>
          <w:b/>
          <w:bCs/>
          <w:sz w:val="28"/>
          <w:szCs w:val="28"/>
          <w:lang w:val="en-CA"/>
        </w:rPr>
      </w:pPr>
      <w:r w:rsidRPr="008646E3">
        <w:rPr>
          <w:rFonts w:cstheme="minorHAnsi"/>
          <w:noProof/>
          <w:sz w:val="24"/>
          <w:szCs w:val="24"/>
          <w:lang w:val="en-CA"/>
        </w:rPr>
        <w:lastRenderedPageBreak/>
        <w:drawing>
          <wp:anchor distT="0" distB="0" distL="114300" distR="114300" simplePos="0" relativeHeight="251658240" behindDoc="0" locked="0" layoutInCell="1" allowOverlap="1" wp14:anchorId="0E2BD8A9" wp14:editId="220F38B6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921125" cy="2800350"/>
            <wp:effectExtent l="0" t="0" r="3175" b="0"/>
            <wp:wrapTopAndBottom/>
            <wp:docPr id="1715229100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29100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C5E">
        <w:rPr>
          <w:rFonts w:cstheme="minorHAnsi"/>
          <w:b/>
          <w:bCs/>
          <w:sz w:val="28"/>
          <w:szCs w:val="28"/>
          <w:lang w:val="en-CA"/>
        </w:rPr>
        <w:t xml:space="preserve">The association between two </w:t>
      </w:r>
      <w:r>
        <w:rPr>
          <w:rFonts w:cstheme="minorHAnsi"/>
          <w:b/>
          <w:bCs/>
          <w:sz w:val="28"/>
          <w:szCs w:val="28"/>
          <w:lang w:val="en-CA"/>
        </w:rPr>
        <w:t>quantitative</w:t>
      </w:r>
      <w:r w:rsidRPr="00856C5E">
        <w:rPr>
          <w:rFonts w:cstheme="minorHAnsi"/>
          <w:b/>
          <w:bCs/>
          <w:sz w:val="28"/>
          <w:szCs w:val="28"/>
          <w:lang w:val="en-CA"/>
        </w:rPr>
        <w:t xml:space="preserve"> vars</w:t>
      </w:r>
      <w:r>
        <w:rPr>
          <w:rFonts w:cstheme="minorHAnsi"/>
          <w:b/>
          <w:bCs/>
          <w:sz w:val="28"/>
          <w:szCs w:val="28"/>
          <w:lang w:val="en-CA"/>
        </w:rPr>
        <w:t xml:space="preserve"> – The scatterplot</w:t>
      </w:r>
    </w:p>
    <w:p w14:paraId="013F3B47" w14:textId="77777777" w:rsidR="008646E3" w:rsidRDefault="008646E3" w:rsidP="008646E3">
      <w:pPr>
        <w:rPr>
          <w:rFonts w:cstheme="minorHAnsi"/>
          <w:sz w:val="24"/>
          <w:szCs w:val="24"/>
          <w:lang w:val="en-CA"/>
        </w:rPr>
      </w:pPr>
    </w:p>
    <w:p w14:paraId="56F1699B" w14:textId="669A62CF" w:rsidR="008646E3" w:rsidRDefault="008646E3" w:rsidP="008646E3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The interpretation depends on the correlation coefficient goes as follows: (seen in ML)</w:t>
      </w:r>
    </w:p>
    <w:p w14:paraId="3CE84057" w14:textId="0568248A" w:rsidR="008646E3" w:rsidRDefault="008646E3" w:rsidP="008646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b/>
          <w:bCs/>
          <w:sz w:val="24"/>
          <w:szCs w:val="24"/>
          <w:lang w:val="en-CA"/>
        </w:rPr>
        <w:t>Positive correlation</w:t>
      </w:r>
      <w:r>
        <w:rPr>
          <w:rFonts w:cstheme="minorHAnsi"/>
          <w:sz w:val="24"/>
          <w:szCs w:val="24"/>
          <w:lang w:val="en-CA"/>
        </w:rPr>
        <w:t>, straight line visible with m &gt; 0</w:t>
      </w:r>
    </w:p>
    <w:p w14:paraId="043C52F5" w14:textId="6F5FACCF" w:rsidR="008646E3" w:rsidRDefault="008646E3" w:rsidP="008646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b/>
          <w:bCs/>
          <w:sz w:val="24"/>
          <w:szCs w:val="24"/>
          <w:lang w:val="en-CA"/>
        </w:rPr>
        <w:t>Negative correlation</w:t>
      </w:r>
      <w:r>
        <w:rPr>
          <w:rFonts w:cstheme="minorHAnsi"/>
          <w:sz w:val="24"/>
          <w:szCs w:val="24"/>
          <w:lang w:val="en-CA"/>
        </w:rPr>
        <w:t>, straight line visible with m &lt; 0 (anticorrelation)</w:t>
      </w:r>
    </w:p>
    <w:p w14:paraId="3105C8C2" w14:textId="55AD4A0E" w:rsidR="008646E3" w:rsidRDefault="008646E3" w:rsidP="008646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8646E3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10837F79" wp14:editId="73FEDEAA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4762168" cy="2438400"/>
            <wp:effectExtent l="0" t="0" r="635" b="0"/>
            <wp:wrapTopAndBottom/>
            <wp:docPr id="7695957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9571" name="Picture 1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6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  <w:lang w:val="en-CA"/>
        </w:rPr>
        <w:t>No correlation</w:t>
      </w:r>
      <w:r>
        <w:rPr>
          <w:rFonts w:cstheme="minorHAnsi"/>
          <w:sz w:val="24"/>
          <w:szCs w:val="24"/>
          <w:lang w:val="en-CA"/>
        </w:rPr>
        <w:t xml:space="preserve">, no linear relationship </w:t>
      </w:r>
      <w:r w:rsidRPr="008646E3">
        <w:rPr>
          <w:rFonts w:cstheme="minorHAnsi"/>
          <w:sz w:val="24"/>
          <w:szCs w:val="24"/>
          <w:lang w:val="en-CA"/>
        </w:rPr>
        <w:t>is visible in the scatterplot</w:t>
      </w:r>
    </w:p>
    <w:p w14:paraId="3F9EA20C" w14:textId="65E9CEBE" w:rsidR="008646E3" w:rsidRPr="008646E3" w:rsidRDefault="008646E3" w:rsidP="008646E3">
      <w:pPr>
        <w:rPr>
          <w:rFonts w:cstheme="minorHAnsi"/>
          <w:sz w:val="24"/>
          <w:szCs w:val="24"/>
          <w:lang w:val="en-CA"/>
        </w:rPr>
      </w:pPr>
    </w:p>
    <w:p w14:paraId="67D0E6E8" w14:textId="6E2E70B2" w:rsidR="0099587B" w:rsidRPr="0099587B" w:rsidRDefault="00A66ED1" w:rsidP="0099587B">
      <w:pPr>
        <w:rPr>
          <w:rFonts w:cstheme="minorHAnsi"/>
          <w:b/>
          <w:bCs/>
          <w:sz w:val="28"/>
          <w:szCs w:val="28"/>
          <w:lang w:val="en-CA"/>
        </w:rPr>
      </w:pPr>
      <w:r w:rsidRPr="0099587B">
        <w:rPr>
          <w:rFonts w:cstheme="minorHAnsi"/>
          <w:b/>
          <w:bCs/>
          <w:sz w:val="28"/>
          <w:szCs w:val="28"/>
          <w:lang w:val="en-CA"/>
        </w:rPr>
        <w:t>Predicting the outcome of a variable – The regression line</w:t>
      </w:r>
    </w:p>
    <w:p w14:paraId="33B92B43" w14:textId="7A3E71B3" w:rsidR="0099587B" w:rsidRPr="0099587B" w:rsidRDefault="0099587B" w:rsidP="0099587B">
      <w:pPr>
        <w:rPr>
          <w:rFonts w:cstheme="minorHAnsi"/>
          <w:sz w:val="24"/>
          <w:szCs w:val="24"/>
          <w:lang w:val="en-CA"/>
        </w:rPr>
      </w:pPr>
      <w:r w:rsidRPr="0099587B">
        <w:rPr>
          <w:rFonts w:cstheme="minorHAnsi"/>
          <w:sz w:val="24"/>
          <w:szCs w:val="24"/>
          <w:lang w:val="en-CA"/>
        </w:rPr>
        <w:t>A regression line is a straight line that describes how the response variable (y) changes as the explanatory variable changes, predicting its value for a given explanatory variable (x):</w:t>
      </w:r>
    </w:p>
    <w:p w14:paraId="45222B74" w14:textId="3FB21DD8" w:rsidR="0099587B" w:rsidRPr="00DF6116" w:rsidRDefault="00000000" w:rsidP="0099587B">
      <w:pPr>
        <w:shd w:val="clear" w:color="auto" w:fill="FFFFFF"/>
        <w:spacing w:before="120" w:after="120" w:line="240" w:lineRule="auto"/>
        <w:jc w:val="center"/>
        <w:textAlignment w:val="baseline"/>
        <w:rPr>
          <w:rFonts w:cstheme="minorHAnsi"/>
          <w:sz w:val="28"/>
          <w:szCs w:val="28"/>
          <w:lang w:val="en-CA"/>
        </w:rPr>
      </w:pPr>
      <w:hyperlink r:id="rId10" w:history="1">
        <w:r w:rsidR="0099587B" w:rsidRPr="00DF6116">
          <w:rPr>
            <w:rStyle w:val="Hyperlink"/>
            <w:rFonts w:cstheme="minorHAnsi"/>
            <w:color w:val="auto"/>
            <w:sz w:val="28"/>
            <w:szCs w:val="28"/>
            <w:u w:val="none"/>
            <w:lang w:val="en-CA"/>
          </w:rPr>
          <w:t>ŷ</w:t>
        </w:r>
      </w:hyperlink>
      <w:r w:rsidR="0099587B" w:rsidRPr="00DF6116">
        <w:rPr>
          <w:rFonts w:cstheme="minorHAnsi"/>
          <w:sz w:val="28"/>
          <w:szCs w:val="28"/>
          <w:lang w:val="en-CA"/>
        </w:rPr>
        <w:t xml:space="preserve"> = a + bx</w:t>
      </w:r>
    </w:p>
    <w:p w14:paraId="5F4F119E" w14:textId="4D44B3C8" w:rsidR="0099587B" w:rsidRDefault="009918EB" w:rsidP="0099587B">
      <w:pPr>
        <w:shd w:val="clear" w:color="auto" w:fill="FFFFFF"/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 w:rsidRPr="009918EB">
        <w:rPr>
          <w:rFonts w:cstheme="minorHAnsi"/>
          <w:sz w:val="24"/>
          <w:szCs w:val="24"/>
          <w:lang w:val="en-CA"/>
        </w:rPr>
        <w:t>The true formula, accounting for t</w:t>
      </w:r>
      <w:r>
        <w:rPr>
          <w:rFonts w:cstheme="minorHAnsi"/>
          <w:sz w:val="24"/>
          <w:szCs w:val="24"/>
          <w:lang w:val="en-CA"/>
        </w:rPr>
        <w:t xml:space="preserve">he </w:t>
      </w:r>
      <w:r>
        <w:rPr>
          <w:rFonts w:cstheme="minorHAnsi"/>
          <w:b/>
          <w:bCs/>
          <w:sz w:val="24"/>
          <w:szCs w:val="24"/>
          <w:lang w:val="en-CA"/>
        </w:rPr>
        <w:t xml:space="preserve">error </w:t>
      </w:r>
      <w:r>
        <w:rPr>
          <w:rFonts w:cstheme="minorHAnsi"/>
          <w:sz w:val="24"/>
          <w:szCs w:val="24"/>
          <w:lang w:val="en-CA"/>
        </w:rPr>
        <w:t>is:</w:t>
      </w:r>
    </w:p>
    <w:p w14:paraId="70621789" w14:textId="3F8ADCC8" w:rsidR="009918EB" w:rsidRDefault="009918EB" w:rsidP="009918EB">
      <w:pPr>
        <w:shd w:val="clear" w:color="auto" w:fill="FFFFFF"/>
        <w:spacing w:before="120" w:after="120" w:line="240" w:lineRule="auto"/>
        <w:jc w:val="center"/>
        <w:textAlignment w:val="baseline"/>
        <w:rPr>
          <w:rFonts w:cstheme="minorHAnsi"/>
          <w:sz w:val="28"/>
          <w:szCs w:val="28"/>
          <w:lang w:val="en-CA"/>
        </w:rPr>
      </w:pPr>
      <w:r>
        <w:rPr>
          <w:rFonts w:cstheme="minorHAnsi"/>
          <w:sz w:val="28"/>
          <w:szCs w:val="28"/>
          <w:lang w:val="en-CA"/>
        </w:rPr>
        <w:t>y= a + bx + ε</w:t>
      </w:r>
    </w:p>
    <w:p w14:paraId="43DDBB39" w14:textId="2E216395" w:rsidR="009918EB" w:rsidRDefault="009918EB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 w:rsidRPr="009918EB">
        <w:rPr>
          <w:rFonts w:cstheme="minorHAnsi"/>
          <w:noProof/>
          <w:sz w:val="24"/>
          <w:szCs w:val="24"/>
          <w:lang w:val="en-CA"/>
        </w:rPr>
        <w:lastRenderedPageBreak/>
        <w:drawing>
          <wp:anchor distT="0" distB="0" distL="114300" distR="114300" simplePos="0" relativeHeight="251661312" behindDoc="0" locked="0" layoutInCell="1" allowOverlap="1" wp14:anchorId="732997C5" wp14:editId="380B00A3">
            <wp:simplePos x="0" y="0"/>
            <wp:positionH relativeFrom="margin">
              <wp:posOffset>507365</wp:posOffset>
            </wp:positionH>
            <wp:positionV relativeFrom="paragraph">
              <wp:posOffset>2262529</wp:posOffset>
            </wp:positionV>
            <wp:extent cx="4781612" cy="1819275"/>
            <wp:effectExtent l="0" t="0" r="0" b="0"/>
            <wp:wrapTopAndBottom/>
            <wp:docPr id="405072179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72179" name="Picture 1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61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18EB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0288" behindDoc="1" locked="0" layoutInCell="1" allowOverlap="1" wp14:anchorId="355FE920" wp14:editId="7A586F55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5095875" cy="1797673"/>
            <wp:effectExtent l="0" t="0" r="0" b="0"/>
            <wp:wrapTopAndBottom/>
            <wp:docPr id="11439454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541" name="Picture 1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97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18EB">
        <w:rPr>
          <w:rFonts w:cstheme="minorHAnsi"/>
          <w:sz w:val="24"/>
          <w:szCs w:val="24"/>
          <w:lang w:val="en-CA"/>
        </w:rPr>
        <w:t xml:space="preserve">The size of the error is the </w:t>
      </w:r>
      <w:r w:rsidRPr="009918EB">
        <w:rPr>
          <w:rFonts w:cstheme="minorHAnsi"/>
          <w:b/>
          <w:bCs/>
          <w:sz w:val="24"/>
          <w:szCs w:val="24"/>
          <w:lang w:val="en-CA"/>
        </w:rPr>
        <w:t xml:space="preserve">residual </w:t>
      </w:r>
      <w:r w:rsidRPr="009918EB">
        <w:rPr>
          <w:rFonts w:cstheme="minorHAnsi"/>
          <w:sz w:val="24"/>
          <w:szCs w:val="24"/>
          <w:lang w:val="en-CA"/>
        </w:rPr>
        <w:t xml:space="preserve">= y - </w:t>
      </w:r>
      <w:hyperlink r:id="rId13" w:history="1">
        <w:r w:rsidRPr="009918EB">
          <w:rPr>
            <w:rStyle w:val="Hyperlink"/>
            <w:rFonts w:cstheme="minorHAnsi"/>
            <w:color w:val="auto"/>
            <w:sz w:val="24"/>
            <w:szCs w:val="24"/>
            <w:u w:val="none"/>
            <w:lang w:val="en-CA"/>
          </w:rPr>
          <w:t>ŷ</w:t>
        </w:r>
      </w:hyperlink>
      <w:r w:rsidRPr="009918EB">
        <w:rPr>
          <w:rFonts w:cstheme="minorHAnsi"/>
          <w:sz w:val="24"/>
          <w:szCs w:val="24"/>
          <w:lang w:val="en-CA"/>
        </w:rPr>
        <w:t>,</w:t>
      </w:r>
      <w:r>
        <w:rPr>
          <w:rFonts w:cstheme="minorHAnsi"/>
          <w:sz w:val="24"/>
          <w:szCs w:val="24"/>
          <w:lang w:val="en-CA"/>
        </w:rPr>
        <w:t xml:space="preserve"> that is, the distance between a point and the regression line</w:t>
      </w:r>
    </w:p>
    <w:p w14:paraId="78DA905F" w14:textId="67E38080" w:rsidR="009918EB" w:rsidRDefault="00DF6116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Where s is the sample standard deviation</w:t>
      </w:r>
    </w:p>
    <w:p w14:paraId="705D010C" w14:textId="0B02A5CB" w:rsidR="00944D71" w:rsidRPr="00944D71" w:rsidRDefault="009918EB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4"/>
          <w:szCs w:val="24"/>
          <w:lang w:val="en-CA"/>
        </w:rPr>
      </w:pPr>
      <w:r w:rsidRPr="009918EB">
        <w:rPr>
          <w:rFonts w:cstheme="minorHAnsi"/>
          <w:b/>
          <w:bCs/>
          <w:sz w:val="24"/>
          <w:szCs w:val="24"/>
          <w:lang w:val="en-CA"/>
        </w:rPr>
        <w:t>The square of the correlation coefficient is used to measure if the residuals are small enough</w:t>
      </w:r>
    </w:p>
    <w:p w14:paraId="19DFA3D5" w14:textId="77777777" w:rsidR="00944D71" w:rsidRDefault="00944D71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8"/>
          <w:szCs w:val="28"/>
          <w:lang w:val="en-CA"/>
        </w:rPr>
      </w:pPr>
    </w:p>
    <w:p w14:paraId="247CD072" w14:textId="384F67E5" w:rsidR="00944D71" w:rsidRPr="00541B4B" w:rsidRDefault="00944D71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8"/>
          <w:szCs w:val="28"/>
          <w:lang w:val="en-CA"/>
        </w:rPr>
      </w:pPr>
      <w:r>
        <w:rPr>
          <w:rFonts w:cstheme="minorHAnsi"/>
          <w:b/>
          <w:bCs/>
          <w:sz w:val="28"/>
          <w:szCs w:val="28"/>
          <w:lang w:val="en-CA"/>
        </w:rPr>
        <w:t xml:space="preserve">REM : </w:t>
      </w:r>
      <w:r w:rsidRPr="00944D71">
        <w:rPr>
          <w:rFonts w:cstheme="minorHAnsi"/>
          <w:b/>
          <w:bCs/>
          <w:sz w:val="28"/>
          <w:szCs w:val="28"/>
          <w:lang w:val="en-CA"/>
        </w:rPr>
        <w:t>Correlation does not imply causation</w:t>
      </w:r>
    </w:p>
    <w:p w14:paraId="6C7F1C0F" w14:textId="3221087D" w:rsidR="00944D71" w:rsidRPr="00944D71" w:rsidRDefault="00541B4B" w:rsidP="009918EB">
      <w:pPr>
        <w:shd w:val="clear" w:color="auto" w:fill="FFFFFF"/>
        <w:tabs>
          <w:tab w:val="left" w:pos="4845"/>
        </w:tabs>
        <w:spacing w:before="120" w:after="120" w:line="240" w:lineRule="auto"/>
        <w:textAlignment w:val="baseline"/>
        <w:rPr>
          <w:rFonts w:cstheme="minorHAnsi"/>
          <w:b/>
          <w:bCs/>
          <w:sz w:val="28"/>
          <w:szCs w:val="28"/>
          <w:lang w:val="en-CA"/>
        </w:rPr>
      </w:pPr>
      <w:r w:rsidRPr="00541B4B">
        <w:rPr>
          <w:rFonts w:cstheme="minorHAnsi"/>
          <w:b/>
          <w:bCs/>
          <w:sz w:val="28"/>
          <w:szCs w:val="28"/>
          <w:lang w:val="en-CA"/>
        </w:rPr>
        <w:t>https://www.math.utah.edu/~morris/Courses/1070/notes/l4.pdf</w:t>
      </w:r>
    </w:p>
    <w:sectPr w:rsidR="00944D71" w:rsidRPr="00944D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6F6"/>
    <w:multiLevelType w:val="hybridMultilevel"/>
    <w:tmpl w:val="AFEEEB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41762"/>
    <w:multiLevelType w:val="multilevel"/>
    <w:tmpl w:val="61F0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83928"/>
    <w:multiLevelType w:val="hybridMultilevel"/>
    <w:tmpl w:val="ED1C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5584">
    <w:abstractNumId w:val="2"/>
  </w:num>
  <w:num w:numId="2" w16cid:durableId="1835948860">
    <w:abstractNumId w:val="0"/>
  </w:num>
  <w:num w:numId="3" w16cid:durableId="83240509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67"/>
    <w:rsid w:val="00195565"/>
    <w:rsid w:val="003B4F4B"/>
    <w:rsid w:val="00541B4B"/>
    <w:rsid w:val="00637948"/>
    <w:rsid w:val="00665479"/>
    <w:rsid w:val="006F2CF7"/>
    <w:rsid w:val="00856C5E"/>
    <w:rsid w:val="008646E3"/>
    <w:rsid w:val="00944D71"/>
    <w:rsid w:val="009918EB"/>
    <w:rsid w:val="0099587B"/>
    <w:rsid w:val="009D4991"/>
    <w:rsid w:val="00A66ED1"/>
    <w:rsid w:val="00CB0111"/>
    <w:rsid w:val="00CF6E67"/>
    <w:rsid w:val="00DF6116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532F"/>
  <w15:chartTrackingRefBased/>
  <w15:docId w15:val="{70E9ED38-E72F-4657-AA04-5DF3887D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E3"/>
  </w:style>
  <w:style w:type="paragraph" w:styleId="Heading2">
    <w:name w:val="heading 2"/>
    <w:basedOn w:val="Normal"/>
    <w:link w:val="Heading2Char"/>
    <w:uiPriority w:val="9"/>
    <w:qFormat/>
    <w:rsid w:val="00995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856C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6C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6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587B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mpart.com/en/unicode/charsets/containing/U+01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ibbr.com/methodology/independent-and-dependent-variabl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scribbr.com/methodology/independent-and-dependent-variabl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mpart.com/en/unicode/charsets/containing/U+01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7</cp:revision>
  <dcterms:created xsi:type="dcterms:W3CDTF">2023-03-16T13:19:00Z</dcterms:created>
  <dcterms:modified xsi:type="dcterms:W3CDTF">2023-04-07T17:41:00Z</dcterms:modified>
</cp:coreProperties>
</file>