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B5" w:rsidRDefault="000E0D0C">
      <w:pPr>
        <w:pStyle w:val="Heading1"/>
      </w:pPr>
      <w:bookmarkStart w:id="0" w:name="_l2yve8o9gi3" w:colFirst="0" w:colLast="0"/>
      <w:bookmarkEnd w:id="0"/>
      <w:r>
        <w:t>Microwave propagation and absorption and its thermo-mechanical consequences in heterogeneous rocks</w:t>
      </w:r>
    </w:p>
    <w:p w:rsidR="006407B5" w:rsidRDefault="000E0D0C">
      <w:r>
        <w:t xml:space="preserve">Lead to diffuse scattering with up to 20 percent changes of the intensity in the main beam compared to a homogeneous model rock. </w:t>
      </w:r>
    </w:p>
    <w:p w:rsidR="006407B5" w:rsidRDefault="000E0D0C">
      <w:r>
        <w:t>Strong selective heating.</w:t>
      </w:r>
    </w:p>
    <w:p w:rsidR="006407B5" w:rsidRDefault="000E0D0C">
      <w:r>
        <w:t>Assumption is that the matrix does not absorb microwave energy.</w:t>
      </w:r>
    </w:p>
    <w:p w:rsidR="006407B5" w:rsidRDefault="000E0D0C">
      <w:r>
        <w:t xml:space="preserve">In rocks with strong heterogeneity, even for a smooth distribution of microwave field and the temperature, stresses can have short-range variations due to the different thermal expansion of the constituents. </w:t>
      </w:r>
    </w:p>
    <w:p w:rsidR="006407B5" w:rsidRDefault="006407B5"/>
    <w:p w:rsidR="006407B5" w:rsidRDefault="000E0D0C">
      <w:r>
        <w:t xml:space="preserve">In further investigations the actual microstructure and orientation of the grains will be </w:t>
      </w:r>
      <w:proofErr w:type="gramStart"/>
      <w:r>
        <w:t>taken into account</w:t>
      </w:r>
      <w:proofErr w:type="gramEnd"/>
      <w:r>
        <w:t xml:space="preserve"> in order to obtain a deeper understanding of the stress distribution.</w:t>
      </w:r>
    </w:p>
    <w:p w:rsidR="006407B5" w:rsidRDefault="006407B5"/>
    <w:p w:rsidR="006407B5" w:rsidRDefault="000E0D0C">
      <w:r>
        <w:t xml:space="preserve">2.45 GHz, wavelength for </w:t>
      </w:r>
      <w:proofErr w:type="spellStart"/>
      <w:r>
        <w:rPr>
          <w:i/>
        </w:rPr>
        <w:t>κ</w:t>
      </w:r>
      <w:r>
        <w:rPr>
          <w:i/>
          <w:sz w:val="20"/>
          <w:szCs w:val="20"/>
        </w:rPr>
        <w:t>r</w:t>
      </w:r>
      <w:proofErr w:type="spellEnd"/>
      <w:r>
        <w:t xml:space="preserve"> = 7 is approximately 5 cm. the size of the computational domain is 50 · 32 cm</w:t>
      </w:r>
      <w:r>
        <w:rPr>
          <w:sz w:val="20"/>
          <w:szCs w:val="20"/>
        </w:rPr>
        <w:t xml:space="preserve">2. </w:t>
      </w:r>
      <w:r>
        <w:t xml:space="preserve">The </w:t>
      </w:r>
      <w:hyperlink r:id="rId4">
        <w:r>
          <w:rPr>
            <w:color w:val="0C7DBB"/>
          </w:rPr>
          <w:t>computational grid</w:t>
        </w:r>
      </w:hyperlink>
      <w:r>
        <w:t xml:space="preserve"> has a lattice constant of 0.05 cm (20 pixels/cell).</w:t>
      </w:r>
    </w:p>
    <w:p w:rsidR="006407B5" w:rsidRDefault="000E0D0C">
      <w:r>
        <w:t xml:space="preserve">The microwave source with width 8.6 cm (corresponding to the opening of the </w:t>
      </w:r>
      <w:hyperlink r:id="rId5">
        <w:r>
          <w:rPr>
            <w:color w:val="0C7DBB"/>
          </w:rPr>
          <w:t>waveguide</w:t>
        </w:r>
      </w:hyperlink>
      <w:r>
        <w:t xml:space="preserve"> for 2.45 GHz)</w:t>
      </w:r>
    </w:p>
    <w:p w:rsidR="006407B5" w:rsidRDefault="000E0D0C">
      <w:pPr>
        <w:pStyle w:val="Heading1"/>
      </w:pPr>
      <w:bookmarkStart w:id="1" w:name="_ruwk9ufbeplw" w:colFirst="0" w:colLast="0"/>
      <w:bookmarkEnd w:id="1"/>
      <w:r>
        <w:t>Application of numerical modelling for prediction of the influence of power density on microwave-assisted breakage-2003</w:t>
      </w:r>
    </w:p>
    <w:p w:rsidR="006407B5" w:rsidRDefault="000E0D0C">
      <w:r>
        <w:t>They investigate the influence of microwave heating on the reduction of rock strength.</w:t>
      </w:r>
    </w:p>
    <w:p w:rsidR="006407B5" w:rsidRDefault="000E0D0C">
      <w:r>
        <w:t>There are some good data to base simulation upon, such as:</w:t>
      </w:r>
    </w:p>
    <w:p w:rsidR="006407B5" w:rsidRDefault="006407B5"/>
    <w:p w:rsidR="006407B5" w:rsidRDefault="000E0D0C">
      <w:r>
        <w:lastRenderedPageBreak/>
        <w:t xml:space="preserve">The dielectric loss factor, </w:t>
      </w:r>
      <w:proofErr w:type="spellStart"/>
      <w:r>
        <w:t>εr</w:t>
      </w:r>
      <w:proofErr w:type="spellEnd"/>
      <w:r>
        <w:t>″, for pyrite has been found to be dependent on temperature (</w:t>
      </w:r>
      <w:proofErr w:type="spellStart"/>
      <w:r>
        <w:t>Salsman</w:t>
      </w:r>
      <w:proofErr w:type="spellEnd"/>
      <w:r>
        <w:t xml:space="preserve"> et al., 1996). In determining the power density for the pyrite, the relationship between </w:t>
      </w:r>
      <w:proofErr w:type="spellStart"/>
      <w:r>
        <w:t>εr</w:t>
      </w:r>
      <w:proofErr w:type="spellEnd"/>
      <w:r>
        <w:t xml:space="preserve">″ and temperature as shown in Fig. 2 was </w:t>
      </w:r>
      <w:proofErr w:type="spellStart"/>
      <w:r>
        <w:t>utilised</w:t>
      </w:r>
      <w:proofErr w:type="spellEnd"/>
      <w:r>
        <w:t xml:space="preserve"> (</w:t>
      </w:r>
      <w:proofErr w:type="spellStart"/>
      <w:r>
        <w:t>Salsman</w:t>
      </w:r>
      <w:proofErr w:type="spellEnd"/>
      <w:r>
        <w:t xml:space="preserve"> et al., 1996).</w:t>
      </w:r>
    </w:p>
    <w:p w:rsidR="006407B5" w:rsidRDefault="006407B5"/>
    <w:p w:rsidR="006407B5" w:rsidRDefault="000E0D0C">
      <w:r>
        <w:rPr>
          <w:noProof/>
        </w:rPr>
        <w:drawing>
          <wp:inline distT="114300" distB="114300" distL="114300" distR="114300">
            <wp:extent cx="3381375" cy="2276475"/>
            <wp:effectExtent l="0" t="0" r="0" b="0"/>
            <wp:docPr id="8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7B5" w:rsidRDefault="000E0D0C">
      <w:r>
        <w:t>2.6-kW, 2.45-GHz multimode microwave cavity:</w:t>
      </w:r>
    </w:p>
    <w:p w:rsidR="006407B5" w:rsidRDefault="000E0D0C">
      <w:r>
        <w:t xml:space="preserve">The calculated power density varied between </w:t>
      </w:r>
      <w:r>
        <w:rPr>
          <w:b/>
        </w:rPr>
        <w:t>3×109 W/m3</w:t>
      </w:r>
      <w:r>
        <w:t xml:space="preserve"> at 300 K and </w:t>
      </w:r>
      <w:r>
        <w:rPr>
          <w:b/>
        </w:rPr>
        <w:t>9×109 W/m3</w:t>
      </w:r>
      <w:r>
        <w:t xml:space="preserve"> for temperatures greater than 600 K (Fig. 3) (Kingman, 1998)</w:t>
      </w:r>
    </w:p>
    <w:p w:rsidR="006407B5" w:rsidRDefault="000E0D0C">
      <w:pPr>
        <w:pStyle w:val="Heading2"/>
      </w:pPr>
      <w:bookmarkStart w:id="2" w:name="_n0p7paqqfltr" w:colFirst="0" w:colLast="0"/>
      <w:bookmarkEnd w:id="2"/>
      <w:r>
        <w:t>Stage 4. Modelling of thermal damage associated with material failure and strain softening</w:t>
      </w:r>
    </w:p>
    <w:p w:rsidR="006407B5" w:rsidRDefault="000E0D0C">
      <w:r>
        <w:t xml:space="preserve">modelling of brittle fracture and subsequent post failure strain softening, which is characteristic of the stress–strain relationship of a crystalline limestone (Hoek and Brown, 1980), The strength of the ore was approximated as a very strong brittle crystalline limestone with an unconfined compressive strength of </w:t>
      </w:r>
      <w:r>
        <w:rPr>
          <w:b/>
        </w:rPr>
        <w:t>125 MPa</w:t>
      </w:r>
      <w:r>
        <w:t xml:space="preserve"> and a shear strength related by a linear Mohr–Coulomb strength criterion (Eq. (10)).</w:t>
      </w:r>
    </w:p>
    <w:p w:rsidR="006407B5" w:rsidRDefault="000E0D0C">
      <w:r>
        <w:rPr>
          <w:noProof/>
        </w:rPr>
        <w:drawing>
          <wp:inline distT="114300" distB="114300" distL="114300" distR="114300">
            <wp:extent cx="1000125" cy="2000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7B5" w:rsidRDefault="000E0D0C">
      <w:r>
        <w:t xml:space="preserve">Upon failure, the ore was assumed to behave as a brittle linear strain softening medium undergoing plastic deformation with a final residual strength being obtained after 1% strain again characteristic of a strong crystalline limestone </w:t>
      </w:r>
      <w:hyperlink r:id="rId8" w:anchor="BIB17">
        <w:r>
          <w:rPr>
            <w:color w:val="0C7DBB"/>
          </w:rPr>
          <w:t>(Hoek and Brown, 1980)</w:t>
        </w:r>
      </w:hyperlink>
      <w:r>
        <w:t xml:space="preserve"> </w:t>
      </w:r>
      <w:hyperlink r:id="rId9" w:anchor="TBL4">
        <w:r>
          <w:rPr>
            <w:color w:val="0C7DBB"/>
          </w:rPr>
          <w:t>(Table 4)</w:t>
        </w:r>
      </w:hyperlink>
      <w:r>
        <w:t>.</w:t>
      </w:r>
    </w:p>
    <w:p w:rsidR="006407B5" w:rsidRDefault="000E0D0C">
      <w:pPr>
        <w:pStyle w:val="Heading2"/>
      </w:pPr>
      <w:bookmarkStart w:id="3" w:name="_sfzo7nurp3mb" w:colFirst="0" w:colLast="0"/>
      <w:bookmarkEnd w:id="3"/>
      <w:r>
        <w:t>Stage 5. Simulations of the unconfined compressive strength tests on the thermally damaged samples</w:t>
      </w:r>
    </w:p>
    <w:p w:rsidR="006407B5" w:rsidRDefault="000E0D0C">
      <w:r>
        <w:t>The simulation was undertaken by applying a constant velocity to the grid points positioned at the top and base of the model domain whilst the left and right boundaries were unstrained. This is analogous to a displacement-controlled uniaxial compressive strength test. The models were run until approximately 0.2% axial strain of the sample whereupon the models predicted failure strength and some strain softening details of the samples was obtained.</w:t>
      </w:r>
    </w:p>
    <w:p w:rsidR="006407B5" w:rsidRDefault="000E0D0C">
      <w:pPr>
        <w:pStyle w:val="Heading1"/>
      </w:pPr>
      <w:bookmarkStart w:id="4" w:name="_gdm9sjyzm700" w:colFirst="0" w:colLast="0"/>
      <w:bookmarkEnd w:id="4"/>
      <w:r>
        <w:t>A review of discrete modelling techniques for fracturing processes in discontinuous rock masses</w:t>
      </w:r>
    </w:p>
    <w:p w:rsidR="006407B5" w:rsidRDefault="000E0D0C">
      <w:pPr>
        <w:pStyle w:val="Heading1"/>
      </w:pPr>
      <w:bookmarkStart w:id="5" w:name="_yc0vsc95gaxk" w:colFirst="0" w:colLast="0"/>
      <w:bookmarkEnd w:id="5"/>
      <w:r>
        <w:t>Grain-Based Discrete Element Method (GB-DEM) Modelling of Multi-scale Fracturing in Rocks Under Dynamic Loading</w:t>
      </w:r>
    </w:p>
    <w:p w:rsidR="006407B5" w:rsidRDefault="000E0D0C">
      <w:pPr>
        <w:pStyle w:val="Heading1"/>
      </w:pPr>
      <w:bookmarkStart w:id="6" w:name="_ppcfh21gdhq8" w:colFirst="0" w:colLast="0"/>
      <w:bookmarkEnd w:id="6"/>
      <w:r>
        <w:t>Understanding microwave-assisted breakage</w:t>
      </w:r>
    </w:p>
    <w:p w:rsidR="006407B5" w:rsidRDefault="000E0D0C">
      <w:r>
        <w:t>A very good article on rock particle fracturing.</w:t>
      </w:r>
    </w:p>
    <w:p w:rsidR="006407B5" w:rsidRDefault="006407B5"/>
    <w:p w:rsidR="006407B5" w:rsidRDefault="006407B5">
      <w:pPr>
        <w:pStyle w:val="Heading1"/>
      </w:pPr>
      <w:bookmarkStart w:id="7" w:name="_gw32n0s54yzh" w:colFirst="0" w:colLast="0"/>
      <w:bookmarkEnd w:id="7"/>
    </w:p>
    <w:p w:rsidR="006407B5" w:rsidRDefault="000E0D0C">
      <w:pPr>
        <w:pStyle w:val="Heading1"/>
      </w:pPr>
      <w:bookmarkStart w:id="8" w:name="_4k38quoo9htk" w:colFirst="0" w:colLast="0"/>
      <w:bookmarkEnd w:id="8"/>
      <w:r>
        <w:t xml:space="preserve">The Effect of Particle Size Distribution on Packing Density </w:t>
      </w:r>
    </w:p>
    <w:p w:rsidR="006407B5" w:rsidRDefault="006407B5"/>
    <w:p w:rsidR="006407B5" w:rsidRDefault="000E0D0C">
      <w:r>
        <w:lastRenderedPageBreak/>
        <w:t xml:space="preserve">Powders with a wider size range </w:t>
      </w:r>
      <w:proofErr w:type="spellStart"/>
      <w:r>
        <w:t>havc</w:t>
      </w:r>
      <w:proofErr w:type="spellEnd"/>
      <w:r>
        <w:t xml:space="preserve"> a lower porosity than those with a similar form of distribution but having narrower size limits. </w:t>
      </w:r>
    </w:p>
    <w:p w:rsidR="006407B5" w:rsidRDefault="000E0D0C">
      <w:r>
        <w:rPr>
          <w:noProof/>
        </w:rPr>
        <w:drawing>
          <wp:inline distT="114300" distB="114300" distL="114300" distR="114300">
            <wp:extent cx="3314700" cy="4067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7B5" w:rsidRDefault="006407B5"/>
    <w:p w:rsidR="006407B5" w:rsidRDefault="000E0D0C">
      <w:r>
        <w:t xml:space="preserve"> More linear cutting tests on rock blocks </w:t>
      </w:r>
      <w:proofErr w:type="spellStart"/>
      <w:r>
        <w:t>kerfed</w:t>
      </w:r>
      <w:proofErr w:type="spellEnd"/>
      <w:r>
        <w:t xml:space="preserve"> by novel/mechanical methods need to be conducted for a more comprehensive comparison</w:t>
      </w:r>
    </w:p>
    <w:p w:rsidR="006407B5" w:rsidRDefault="006407B5"/>
    <w:p w:rsidR="006407B5" w:rsidRDefault="006407B5"/>
    <w:p w:rsidR="006407B5" w:rsidRDefault="000E0D0C">
      <w:r>
        <w:t xml:space="preserve">Two well defined types of size distribution were used, viz. Gaussian and log-normal, by weight. </w:t>
      </w:r>
    </w:p>
    <w:p w:rsidR="006407B5" w:rsidRDefault="000E0D0C">
      <w:r>
        <w:rPr>
          <w:noProof/>
        </w:rPr>
        <w:lastRenderedPageBreak/>
        <w:drawing>
          <wp:inline distT="114300" distB="114300" distL="114300" distR="114300">
            <wp:extent cx="5019675" cy="2514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7B5" w:rsidRDefault="000E0D0C">
      <w:r>
        <w:rPr>
          <w:noProof/>
        </w:rPr>
        <w:lastRenderedPageBreak/>
        <w:drawing>
          <wp:inline distT="114300" distB="114300" distL="114300" distR="114300">
            <wp:extent cx="5829300" cy="31908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3517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943600" cy="31115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7B5" w:rsidRDefault="006407B5"/>
    <w:p w:rsidR="006407B5" w:rsidRDefault="000E0D0C">
      <w:r>
        <w:rPr>
          <w:noProof/>
        </w:rPr>
        <w:drawing>
          <wp:inline distT="114300" distB="114300" distL="114300" distR="114300">
            <wp:extent cx="5715000" cy="31337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46D" w:rsidRDefault="00E2746D">
      <w:r>
        <w:rPr>
          <w:noProof/>
        </w:rPr>
        <w:lastRenderedPageBreak/>
        <w:drawing>
          <wp:inline distT="0" distB="0" distL="0" distR="0" wp14:anchorId="3F2876B3" wp14:editId="5BB49BD0">
            <wp:extent cx="5829300" cy="605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5" w:rsidRDefault="00EB12C4">
      <w:r>
        <w:rPr>
          <w:noProof/>
        </w:rPr>
        <w:lastRenderedPageBreak/>
        <w:drawing>
          <wp:inline distT="0" distB="0" distL="0" distR="0" wp14:anchorId="72297B24" wp14:editId="73849ED1">
            <wp:extent cx="501967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4E" w:rsidRDefault="00CD094E"/>
    <w:p w:rsidR="00CD094E" w:rsidRDefault="00CD094E">
      <w:r>
        <w:rPr>
          <w:noProof/>
        </w:rPr>
        <w:drawing>
          <wp:inline distT="0" distB="0" distL="0" distR="0" wp14:anchorId="4254CBB5" wp14:editId="68265718">
            <wp:extent cx="5943600" cy="1353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4E" w:rsidRDefault="00CD094E">
      <w:r>
        <w:rPr>
          <w:noProof/>
        </w:rPr>
        <w:drawing>
          <wp:inline distT="0" distB="0" distL="0" distR="0" wp14:anchorId="37C84854" wp14:editId="67C6093F">
            <wp:extent cx="59436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D0" w:rsidRDefault="00290C5C">
      <w:r>
        <w:rPr>
          <w:noProof/>
        </w:rPr>
        <w:lastRenderedPageBreak/>
        <w:drawing>
          <wp:inline distT="0" distB="0" distL="0" distR="0" wp14:anchorId="68E8965C" wp14:editId="58DCE8F3">
            <wp:extent cx="5943600" cy="4070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5" w:rsidRDefault="006407B5"/>
    <w:p w:rsidR="006407B5" w:rsidRDefault="006407B5"/>
    <w:p w:rsidR="006A6DB4" w:rsidRDefault="006A6DB4">
      <w:r>
        <w:t xml:space="preserve">Effects of </w:t>
      </w:r>
      <w:proofErr w:type="spellStart"/>
      <w:r>
        <w:t>microwae</w:t>
      </w:r>
      <w:proofErr w:type="spellEnd"/>
      <w:r>
        <w:t xml:space="preserve"> heating on ore sorting</w:t>
      </w:r>
      <w:bookmarkStart w:id="9" w:name="_GoBack"/>
      <w:bookmarkEnd w:id="9"/>
    </w:p>
    <w:p w:rsidR="006407B5" w:rsidRDefault="006A6DB4">
      <w:r>
        <w:rPr>
          <w:noProof/>
        </w:rPr>
        <w:drawing>
          <wp:inline distT="0" distB="0" distL="0" distR="0" wp14:anchorId="56212C16" wp14:editId="46913FBE">
            <wp:extent cx="542925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B5"/>
    <w:rsid w:val="000E0D0C"/>
    <w:rsid w:val="002066D0"/>
    <w:rsid w:val="00290C5C"/>
    <w:rsid w:val="0046323C"/>
    <w:rsid w:val="006407B5"/>
    <w:rsid w:val="006A6DB4"/>
    <w:rsid w:val="00CD094E"/>
    <w:rsid w:val="00E2746D"/>
    <w:rsid w:val="00E7635B"/>
    <w:rsid w:val="00E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AEC"/>
  <w15:docId w15:val="{7EBECA48-6A77-4F0D-A3A2-9C38284C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2E2E2E"/>
        <w:sz w:val="27"/>
        <w:szCs w:val="27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ezproxy.lib.monash.edu.au/science/article/pii/S030175160200049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https://www-sciencedirect-com.ezproxy.lib.monash.edu.au/topics/earth-and-planetary-sciences/waveguide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www-sciencedirect-com.ezproxy.lib.monash.edu.au/topics/earth-and-planetary-sciences/computational-grid" TargetMode="External"/><Relationship Id="rId9" Type="http://schemas.openxmlformats.org/officeDocument/2006/relationships/hyperlink" Target="https://www-sciencedirect-com.ezproxy.lib.monash.edu.au/science/article/pii/S0301751602000492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8827</TotalTime>
  <Pages>10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Chen</cp:lastModifiedBy>
  <cp:revision>6</cp:revision>
  <dcterms:created xsi:type="dcterms:W3CDTF">2020-06-06T02:16:00Z</dcterms:created>
  <dcterms:modified xsi:type="dcterms:W3CDTF">2020-06-16T01:00:00Z</dcterms:modified>
</cp:coreProperties>
</file>