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F60F" w14:textId="51EAACCA" w:rsidR="006E6488" w:rsidRDefault="006E6488"/>
    <w:p w14:paraId="4C5D1502" w14:textId="77777777" w:rsidR="00834D42" w:rsidRDefault="00E332E8">
      <w:r>
        <w:rPr>
          <w:noProof/>
        </w:rPr>
        <w:drawing>
          <wp:inline distT="0" distB="0" distL="0" distR="0" wp14:anchorId="5C4F67CE" wp14:editId="562A4DBE">
            <wp:extent cx="3433865" cy="2053086"/>
            <wp:effectExtent l="0" t="0" r="0" b="4445"/>
            <wp:docPr id="9" name="Picture 9" descr="C:\Users\dche145\Downloads\Particle-size-distribution-of-rock-d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che145\Downloads\Particle-size-distribution-of-rock-du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55" cy="209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8666" w14:textId="14963198" w:rsidR="00E332E8" w:rsidRDefault="00731EDC">
      <w:r>
        <w:t xml:space="preserve"> </w:t>
      </w:r>
      <w:r w:rsidR="00834D42">
        <w:rPr>
          <w:noProof/>
        </w:rPr>
        <w:drawing>
          <wp:inline distT="0" distB="0" distL="0" distR="0" wp14:anchorId="4DC17D96" wp14:editId="12FBC49A">
            <wp:extent cx="3331423" cy="2734574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96" cy="27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EB98" w14:textId="133088A1" w:rsidR="00E332E8" w:rsidRPr="00E332E8" w:rsidRDefault="00E332E8">
      <w:pPr>
        <w:rPr>
          <w:i/>
        </w:rPr>
      </w:pPr>
      <w:r>
        <w:rPr>
          <w:i/>
        </w:rPr>
        <w:t>Ref</w:t>
      </w:r>
      <w:r>
        <w:t>:</w:t>
      </w:r>
      <w:hyperlink r:id="rId6" w:history="1">
        <w:r w:rsidRPr="009912C2">
          <w:rPr>
            <w:rStyle w:val="Hyperlink"/>
            <w:i/>
          </w:rPr>
          <w:t>https://www.researchgate.net/publication/324913292_Influence_of_pleat_geometry_on_the_filtration_and_cleaning_characteristics_of_filter_media</w:t>
        </w:r>
      </w:hyperlink>
    </w:p>
    <w:p w14:paraId="2BE74348" w14:textId="6C3C78AD" w:rsidR="00A56840" w:rsidRDefault="00A56840">
      <w:r>
        <w:t xml:space="preserve">The </w:t>
      </w:r>
      <w:r w:rsidR="006E6488">
        <w:t xml:space="preserve">particle distribution is assumed to be general </w:t>
      </w:r>
      <w:r>
        <w:t>normal distributio</w:t>
      </w:r>
      <w:r w:rsidR="006E6488">
        <w:t>n</w:t>
      </w:r>
      <w:r>
        <w:t>.</w:t>
      </w:r>
    </w:p>
    <w:p w14:paraId="663F0FE0" w14:textId="309A674C" w:rsidR="006E6488" w:rsidRDefault="006E6488">
      <w:r>
        <w:t>Parameters associated with this distribution:</w:t>
      </w:r>
    </w:p>
    <w:p w14:paraId="2E79A095" w14:textId="13700B78" w:rsidR="006E6488" w:rsidRDefault="006E6488">
      <w:r>
        <w:t>Mean</w:t>
      </w:r>
      <w:r w:rsidR="000D70EA">
        <w:t xml:space="preserve"> (</w:t>
      </w:r>
      <w:r w:rsidR="000D70EA">
        <w:t>mu</w:t>
      </w:r>
      <w:r w:rsidR="000D70EA">
        <w:t>)</w:t>
      </w:r>
      <w:r>
        <w:t>, standard deviation</w:t>
      </w:r>
      <w:r w:rsidR="000D70EA">
        <w:t xml:space="preserve"> (</w:t>
      </w:r>
      <w:r w:rsidR="000D70EA">
        <w:t>sigmas</w:t>
      </w:r>
      <w:r w:rsidR="000D70EA">
        <w:t>)</w:t>
      </w:r>
      <w:r>
        <w:t xml:space="preserve">, </w:t>
      </w:r>
      <w:r w:rsidR="000D70EA">
        <w:t>kurtosis</w:t>
      </w:r>
      <w:r w:rsidR="000D70EA">
        <w:t xml:space="preserve"> </w:t>
      </w:r>
      <w:r>
        <w:t>(</w:t>
      </w:r>
      <w:r w:rsidR="000D70EA">
        <w:t>beta</w:t>
      </w:r>
      <w:r>
        <w:t xml:space="preserve">). </w:t>
      </w:r>
    </w:p>
    <w:p w14:paraId="33E2EBE9" w14:textId="7E4E7FCF" w:rsidR="000D70EA" w:rsidRDefault="000D70EA">
      <w:r>
        <w:t>Assumed value for the constants:</w:t>
      </w:r>
      <w:bookmarkStart w:id="0" w:name="_GoBack"/>
      <w:bookmarkEnd w:id="0"/>
    </w:p>
    <w:p w14:paraId="1A50C26C" w14:textId="77777777" w:rsidR="00642741" w:rsidRDefault="00642741" w:rsidP="00642741">
      <w:r>
        <w:t>beta = 0.5</w:t>
      </w:r>
    </w:p>
    <w:p w14:paraId="273F5A50" w14:textId="77777777" w:rsidR="00642741" w:rsidRDefault="00642741" w:rsidP="00642741">
      <w:r>
        <w:t>sigma = 60</w:t>
      </w:r>
    </w:p>
    <w:p w14:paraId="664C0130" w14:textId="447887ED" w:rsidR="000D70EA" w:rsidRDefault="00642741" w:rsidP="00642741">
      <w:r>
        <w:t>mu = 0</w:t>
      </w:r>
    </w:p>
    <w:p w14:paraId="42B37587" w14:textId="2FAE022D" w:rsidR="006E6488" w:rsidRDefault="006E6488">
      <w:r>
        <w:t xml:space="preserve">All these parameters have large impact on the fill factor of </w:t>
      </w:r>
      <w:r w:rsidR="0087519C">
        <w:t>the different particle size.</w:t>
      </w:r>
    </w:p>
    <w:p w14:paraId="2F863765" w14:textId="781C8B95" w:rsidR="006E6488" w:rsidRDefault="006E6488">
      <w:pPr>
        <w:rPr>
          <w:rFonts w:eastAsiaTheme="minorEastAsia"/>
        </w:rPr>
      </w:pPr>
      <w:r>
        <w:t xml:space="preserve">The </w:t>
      </w:r>
      <m:oMath>
        <m:r>
          <w:rPr>
            <w:rFonts w:ascii="Cambria Math" w:hAnsi="Cambria Math"/>
          </w:rPr>
          <m:t>σ/x</m:t>
        </m:r>
      </m:oMath>
      <w:r>
        <w:rPr>
          <w:rFonts w:eastAsiaTheme="minorEastAsia"/>
        </w:rPr>
        <w:t xml:space="preserve"> is calculated through the truncated distribution. </w:t>
      </w:r>
    </w:p>
    <w:p w14:paraId="0A5D69F0" w14:textId="77777777" w:rsidR="006E6488" w:rsidRDefault="006E6488"/>
    <w:p w14:paraId="7C13FE59" w14:textId="7FF08C9D" w:rsidR="006E6488" w:rsidRDefault="006E6488">
      <w:r>
        <w:t>The sieve is assumed to be perfect in terms that it can separate the range of particle size perfectly.</w:t>
      </w:r>
    </w:p>
    <w:p w14:paraId="30355E63" w14:textId="503FA953" w:rsidR="00A56840" w:rsidRDefault="006E6488" w:rsidP="006E6488">
      <w:r>
        <w:rPr>
          <w:rFonts w:ascii="Georgia" w:hAnsi="Georgia"/>
          <w:noProof/>
          <w:color w:val="2E2E2E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46BEA54A" wp14:editId="2D1B59D1">
            <wp:extent cx="2594228" cy="3183147"/>
            <wp:effectExtent l="0" t="0" r="0" b="0"/>
            <wp:docPr id="1" name="Picture 1" descr="https://lh6.googleusercontent.com/ZeDt3ddtWq2nxiSvwy2Kak4WiCEbcNKDcXLnnxjxe3BQxOTQE8ZlP_n_-ZGJ5O8i3OVPJTnicIlKW0XioU4Dxtn1xzBTmmxng3it3FZYseayvKdPKbVfZB__PrzlqsP7Z5ptL1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eDt3ddtWq2nxiSvwy2Kak4WiCEbcNKDcXLnnxjxe3BQxOTQE8ZlP_n_-ZGJ5O8i3OVPJTnicIlKW0XioU4Dxtn1xzBTmmxng3it3FZYseayvKdPKbVfZB__PrzlqsP7Z5ptL1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00" cy="32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2E8">
        <w:rPr>
          <w:rFonts w:ascii="Georgia" w:hAnsi="Georgia"/>
          <w:noProof/>
          <w:color w:val="2E2E2E"/>
          <w:sz w:val="27"/>
          <w:szCs w:val="27"/>
          <w:bdr w:val="none" w:sz="0" w:space="0" w:color="auto" w:frame="1"/>
        </w:rPr>
        <w:drawing>
          <wp:inline distT="0" distB="0" distL="0" distR="0" wp14:anchorId="22A86920" wp14:editId="184DBAD8">
            <wp:extent cx="2570672" cy="223380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67" cy="22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840">
        <w:t xml:space="preserve"> </w:t>
      </w:r>
    </w:p>
    <w:p w14:paraId="57616959" w14:textId="097FB35A" w:rsidR="0087519C" w:rsidRDefault="006E6488">
      <w:pPr>
        <w:rPr>
          <w:rFonts w:eastAsiaTheme="minorEastAsia"/>
        </w:rPr>
      </w:pPr>
      <w:r>
        <w:t xml:space="preserve">The </w:t>
      </w:r>
      <m:oMath>
        <m:r>
          <w:rPr>
            <w:rFonts w:ascii="Cambria Math" w:hAnsi="Cambria Math"/>
          </w:rPr>
          <m:t>σ/x</m:t>
        </m:r>
      </m:oMath>
      <w:r>
        <w:rPr>
          <w:rFonts w:eastAsiaTheme="minorEastAsia"/>
        </w:rPr>
        <w:t xml:space="preserve"> is then substituted into the graph on the left to calculated the filling factor range.</w:t>
      </w:r>
    </w:p>
    <w:p w14:paraId="373DE20C" w14:textId="77777777" w:rsidR="0087519C" w:rsidRDefault="0087519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752"/>
        <w:gridCol w:w="1879"/>
        <w:gridCol w:w="1880"/>
        <w:gridCol w:w="1704"/>
      </w:tblGrid>
      <w:tr w:rsidR="00834D42" w14:paraId="2D6D4CE5" w14:textId="70A28DF8" w:rsidTr="00834D42">
        <w:tc>
          <w:tcPr>
            <w:tcW w:w="1801" w:type="dxa"/>
          </w:tcPr>
          <w:p w14:paraId="6B43BD74" w14:textId="19B2AFDF" w:rsidR="00834D42" w:rsidRDefault="00834D42" w:rsidP="00834D42"/>
        </w:tc>
        <w:tc>
          <w:tcPr>
            <w:tcW w:w="1752" w:type="dxa"/>
          </w:tcPr>
          <w:p w14:paraId="66725E9B" w14:textId="3CD89C5E" w:rsidR="00834D42" w:rsidRDefault="00834D42" w:rsidP="00834D42">
            <w:r w:rsidRPr="00064ED0">
              <w:t>σ/x</w:t>
            </w:r>
          </w:p>
        </w:tc>
        <w:tc>
          <w:tcPr>
            <w:tcW w:w="1879" w:type="dxa"/>
          </w:tcPr>
          <w:p w14:paraId="20C7FADC" w14:textId="09E4BCE1" w:rsidR="00834D42" w:rsidRDefault="00834D42" w:rsidP="00834D42">
            <w:r w:rsidRPr="00064ED0">
              <w:t>lower</w:t>
            </w:r>
          </w:p>
        </w:tc>
        <w:tc>
          <w:tcPr>
            <w:tcW w:w="1880" w:type="dxa"/>
          </w:tcPr>
          <w:p w14:paraId="32EF9D2B" w14:textId="43ED2509" w:rsidR="00834D42" w:rsidRDefault="00834D42" w:rsidP="00834D42">
            <w:r w:rsidRPr="00064ED0">
              <w:t>upper</w:t>
            </w:r>
          </w:p>
        </w:tc>
        <w:tc>
          <w:tcPr>
            <w:tcW w:w="1704" w:type="dxa"/>
          </w:tcPr>
          <w:p w14:paraId="272D66AB" w14:textId="7BB2A05C" w:rsidR="00834D42" w:rsidRPr="009628D1" w:rsidRDefault="00834D42" w:rsidP="00834D42">
            <w:r w:rsidRPr="00064ED0">
              <w:t>fill factor</w:t>
            </w:r>
          </w:p>
        </w:tc>
      </w:tr>
      <w:tr w:rsidR="00834D42" w14:paraId="6FDCC4C3" w14:textId="13C88677" w:rsidTr="00834D42">
        <w:tc>
          <w:tcPr>
            <w:tcW w:w="1801" w:type="dxa"/>
          </w:tcPr>
          <w:p w14:paraId="552BB19A" w14:textId="4B636453" w:rsidR="00834D42" w:rsidRDefault="00834D42" w:rsidP="00834D42">
            <w:r w:rsidRPr="00064ED0">
              <w:t>&lt;75</w:t>
            </w:r>
          </w:p>
        </w:tc>
        <w:tc>
          <w:tcPr>
            <w:tcW w:w="1752" w:type="dxa"/>
          </w:tcPr>
          <w:p w14:paraId="54A2269A" w14:textId="63497D1B" w:rsidR="00834D42" w:rsidRPr="0087519C" w:rsidRDefault="00834D42" w:rsidP="00834D42">
            <w:r w:rsidRPr="00064ED0">
              <w:t>0.3027</w:t>
            </w:r>
          </w:p>
        </w:tc>
        <w:tc>
          <w:tcPr>
            <w:tcW w:w="1879" w:type="dxa"/>
          </w:tcPr>
          <w:p w14:paraId="08493492" w14:textId="6E1A4741" w:rsidR="00834D42" w:rsidRDefault="00834D42" w:rsidP="00834D42">
            <w:r w:rsidRPr="00064ED0">
              <w:t>0.6727</w:t>
            </w:r>
          </w:p>
        </w:tc>
        <w:tc>
          <w:tcPr>
            <w:tcW w:w="1880" w:type="dxa"/>
          </w:tcPr>
          <w:p w14:paraId="7B726D6C" w14:textId="2372B84B" w:rsidR="00834D42" w:rsidRDefault="00834D42" w:rsidP="00834D42">
            <w:r w:rsidRPr="00064ED0">
              <w:t>0.7831</w:t>
            </w:r>
          </w:p>
        </w:tc>
        <w:tc>
          <w:tcPr>
            <w:tcW w:w="1704" w:type="dxa"/>
          </w:tcPr>
          <w:p w14:paraId="0EDB3CA1" w14:textId="0314E653" w:rsidR="00834D42" w:rsidRPr="009628D1" w:rsidRDefault="00834D42" w:rsidP="00834D42">
            <w:r w:rsidRPr="00064ED0">
              <w:t>0.7279±0.0552</w:t>
            </w:r>
          </w:p>
        </w:tc>
      </w:tr>
      <w:tr w:rsidR="00834D42" w14:paraId="3E4ED35A" w14:textId="0BB1A536" w:rsidTr="00834D42">
        <w:tc>
          <w:tcPr>
            <w:tcW w:w="1801" w:type="dxa"/>
          </w:tcPr>
          <w:p w14:paraId="037568DA" w14:textId="20BC5A18" w:rsidR="00834D42" w:rsidRDefault="00834D42" w:rsidP="00834D42">
            <w:r w:rsidRPr="00064ED0">
              <w:t>&gt;75 &lt;125</w:t>
            </w:r>
          </w:p>
        </w:tc>
        <w:tc>
          <w:tcPr>
            <w:tcW w:w="1752" w:type="dxa"/>
          </w:tcPr>
          <w:p w14:paraId="536A15A9" w14:textId="448E0AF9" w:rsidR="00834D42" w:rsidRPr="0087519C" w:rsidRDefault="00834D42" w:rsidP="00834D42">
            <w:r w:rsidRPr="00064ED0">
              <w:t>0.1448</w:t>
            </w:r>
          </w:p>
        </w:tc>
        <w:tc>
          <w:tcPr>
            <w:tcW w:w="1879" w:type="dxa"/>
          </w:tcPr>
          <w:p w14:paraId="4A4417FC" w14:textId="1547535A" w:rsidR="00834D42" w:rsidRDefault="00834D42" w:rsidP="00834D42">
            <w:r w:rsidRPr="00064ED0">
              <w:t>0.6259</w:t>
            </w:r>
          </w:p>
        </w:tc>
        <w:tc>
          <w:tcPr>
            <w:tcW w:w="1880" w:type="dxa"/>
          </w:tcPr>
          <w:p w14:paraId="3158FF81" w14:textId="250E95D8" w:rsidR="00834D42" w:rsidRDefault="00834D42" w:rsidP="00834D42">
            <w:r w:rsidRPr="00064ED0">
              <w:t>0.7494</w:t>
            </w:r>
          </w:p>
        </w:tc>
        <w:tc>
          <w:tcPr>
            <w:tcW w:w="1704" w:type="dxa"/>
          </w:tcPr>
          <w:p w14:paraId="391BCF5A" w14:textId="3B9736D7" w:rsidR="00834D42" w:rsidRPr="009628D1" w:rsidRDefault="00834D42" w:rsidP="00834D42">
            <w:r w:rsidRPr="00064ED0">
              <w:t>0.6876±0.0618</w:t>
            </w:r>
          </w:p>
        </w:tc>
      </w:tr>
      <w:tr w:rsidR="00834D42" w14:paraId="376250A4" w14:textId="7AEE7527" w:rsidTr="00834D42">
        <w:tc>
          <w:tcPr>
            <w:tcW w:w="1801" w:type="dxa"/>
          </w:tcPr>
          <w:p w14:paraId="710EF537" w14:textId="6303B932" w:rsidR="00834D42" w:rsidRDefault="00834D42" w:rsidP="00834D42">
            <w:r w:rsidRPr="00064ED0">
              <w:t>&gt;125</w:t>
            </w:r>
          </w:p>
        </w:tc>
        <w:tc>
          <w:tcPr>
            <w:tcW w:w="1752" w:type="dxa"/>
          </w:tcPr>
          <w:p w14:paraId="1DE0A04C" w14:textId="7C300374" w:rsidR="00834D42" w:rsidRPr="0087519C" w:rsidRDefault="00834D42" w:rsidP="00834D42">
            <w:r w:rsidRPr="00064ED0">
              <w:t>0.1286</w:t>
            </w:r>
          </w:p>
        </w:tc>
        <w:tc>
          <w:tcPr>
            <w:tcW w:w="1879" w:type="dxa"/>
          </w:tcPr>
          <w:p w14:paraId="65E230CB" w14:textId="26ECAA10" w:rsidR="00834D42" w:rsidRDefault="00834D42" w:rsidP="00834D42">
            <w:r w:rsidRPr="00064ED0">
              <w:t>0.6227</w:t>
            </w:r>
          </w:p>
        </w:tc>
        <w:tc>
          <w:tcPr>
            <w:tcW w:w="1880" w:type="dxa"/>
          </w:tcPr>
          <w:p w14:paraId="3176D8A7" w14:textId="4EAB7FE3" w:rsidR="00834D42" w:rsidRDefault="00834D42" w:rsidP="00834D42">
            <w:r w:rsidRPr="00064ED0">
              <w:t>0.7460</w:t>
            </w:r>
          </w:p>
        </w:tc>
        <w:tc>
          <w:tcPr>
            <w:tcW w:w="1704" w:type="dxa"/>
          </w:tcPr>
          <w:p w14:paraId="2911419F" w14:textId="24560DF8" w:rsidR="00834D42" w:rsidRPr="009628D1" w:rsidRDefault="00834D42" w:rsidP="00834D42">
            <w:r w:rsidRPr="00064ED0">
              <w:t>0.6844±0.0616</w:t>
            </w:r>
          </w:p>
        </w:tc>
      </w:tr>
    </w:tbl>
    <w:p w14:paraId="6355445D" w14:textId="77777777" w:rsidR="009C418F" w:rsidRDefault="009C418F" w:rsidP="006E6488"/>
    <w:p w14:paraId="3F044BFF" w14:textId="00C6BD35" w:rsidR="006E6488" w:rsidRDefault="006E6488" w:rsidP="006E6488">
      <w:r>
        <w:t>The range of estimation error is</w:t>
      </w:r>
      <w:r w:rsidR="0087519C">
        <w:t xml:space="preserve"> shown above:</w:t>
      </w:r>
    </w:p>
    <w:p w14:paraId="4A75C6C1" w14:textId="1E084B62" w:rsidR="0087519C" w:rsidRDefault="0087519C" w:rsidP="006E6488">
      <w:r>
        <w:t xml:space="preserve">The fill factor has a lower and upper bound depend on the </w:t>
      </w:r>
      <w:proofErr w:type="spellStart"/>
      <w:r>
        <w:t>whether</w:t>
      </w:r>
      <w:proofErr w:type="spellEnd"/>
      <w:r>
        <w:t xml:space="preserve"> particle geometry is more closely resembles OS or MR sand.</w:t>
      </w:r>
    </w:p>
    <w:p w14:paraId="3F40A7D9" w14:textId="24786CDD" w:rsidR="0087519C" w:rsidRDefault="0087519C" w:rsidP="006E6488">
      <w:r>
        <w:t xml:space="preserve">However, in both cases, the fill factor increases. Which means the EM absorption increase when the particle size is smaller. </w:t>
      </w:r>
    </w:p>
    <w:p w14:paraId="34415D4D" w14:textId="77777777" w:rsidR="0087519C" w:rsidRDefault="0087519C" w:rsidP="006E6488"/>
    <w:p w14:paraId="5BFF17AB" w14:textId="77777777" w:rsidR="00A63A9F" w:rsidRDefault="00A63A9F"/>
    <w:p w14:paraId="68655C04" w14:textId="77777777" w:rsidR="00A63A9F" w:rsidRDefault="00A63A9F"/>
    <w:p w14:paraId="09F7B212" w14:textId="1E22812E" w:rsidR="00A56840" w:rsidRDefault="00A56840"/>
    <w:p w14:paraId="638A587F" w14:textId="412CE022" w:rsidR="00A63A9F" w:rsidRDefault="00A63A9F"/>
    <w:sectPr w:rsidR="00A6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57"/>
    <w:rsid w:val="00023F33"/>
    <w:rsid w:val="000D70EA"/>
    <w:rsid w:val="00294424"/>
    <w:rsid w:val="002F198E"/>
    <w:rsid w:val="00411B1E"/>
    <w:rsid w:val="00436D57"/>
    <w:rsid w:val="005D0471"/>
    <w:rsid w:val="00642741"/>
    <w:rsid w:val="00693B78"/>
    <w:rsid w:val="006E6488"/>
    <w:rsid w:val="00731EDC"/>
    <w:rsid w:val="00834D42"/>
    <w:rsid w:val="0087519C"/>
    <w:rsid w:val="009C418F"/>
    <w:rsid w:val="009E18AF"/>
    <w:rsid w:val="00A56840"/>
    <w:rsid w:val="00A63A9F"/>
    <w:rsid w:val="00A94194"/>
    <w:rsid w:val="00AB167D"/>
    <w:rsid w:val="00B67A76"/>
    <w:rsid w:val="00E332E8"/>
    <w:rsid w:val="00E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4BC4"/>
  <w15:chartTrackingRefBased/>
  <w15:docId w15:val="{74B1C02B-BDD9-4F38-B715-7AE581F8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840"/>
    <w:rPr>
      <w:color w:val="808080"/>
    </w:rPr>
  </w:style>
  <w:style w:type="table" w:styleId="TableGrid">
    <w:name w:val="Table Grid"/>
    <w:basedOn w:val="TableNormal"/>
    <w:uiPriority w:val="39"/>
    <w:rsid w:val="0087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2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24913292_Influence_of_pleat_geometry_on_the_filtration_and_cleaning_characteristics_of_filter_medi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3</cp:revision>
  <dcterms:created xsi:type="dcterms:W3CDTF">2020-08-30T05:13:00Z</dcterms:created>
  <dcterms:modified xsi:type="dcterms:W3CDTF">2020-08-31T01:10:00Z</dcterms:modified>
</cp:coreProperties>
</file>