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guía-de-instalación"/>
    <w:p>
      <w:pPr>
        <w:pStyle w:val="Heading1"/>
      </w:pPr>
      <w:r>
        <w:t xml:space="preserve">Guía de instalación</w:t>
      </w:r>
    </w:p>
    <w:p>
      <w:pPr>
        <w:pStyle w:val="FirstParagraph"/>
      </w:pPr>
      <w:r>
        <w:t xml:space="preserve">Sistema web de inventario y ventas – Ferretería Industrial Los Olivos S.A.C.</w:t>
      </w:r>
      <w:r>
        <w:t xml:space="preserve"> </w:t>
      </w:r>
      <w:r>
        <w:t xml:space="preserve">Arquitectura:</w:t>
      </w:r>
      <w:r>
        <w:t xml:space="preserve"> </w:t>
      </w:r>
      <w:r>
        <w:rPr>
          <w:bCs/>
          <w:b/>
        </w:rPr>
        <w:t xml:space="preserve">React</w:t>
      </w:r>
      <w:r>
        <w:t xml:space="preserve"> </w:t>
      </w:r>
      <w:r>
        <w:t xml:space="preserve">(puerto 5173) →</w:t>
      </w:r>
      <w:r>
        <w:t xml:space="preserve"> </w:t>
      </w:r>
      <w:r>
        <w:rPr>
          <w:bCs/>
          <w:b/>
        </w:rPr>
        <w:t xml:space="preserve">Spring Boot</w:t>
      </w:r>
      <w:r>
        <w:t xml:space="preserve"> </w:t>
      </w:r>
      <w:r>
        <w:t xml:space="preserve">(puerto 8080) →</w:t>
      </w:r>
      <w:r>
        <w:t xml:space="preserve"> </w:t>
      </w:r>
      <w:r>
        <w:rPr>
          <w:bCs/>
          <w:b/>
        </w:rPr>
        <w:t xml:space="preserve">SQL Server Express</w:t>
      </w:r>
      <w:r>
        <w:t xml:space="preserve"> </w:t>
      </w:r>
      <w:r>
        <w:t xml:space="preserve">(puerto 1433).</w:t>
      </w:r>
    </w:p>
    <w:bookmarkStart w:id="20" w:name="requisitos"/>
    <w:p>
      <w:pPr>
        <w:pStyle w:val="Heading2"/>
      </w:pPr>
      <w:r>
        <w:t xml:space="preserve">1. Requisitos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 Server Express + SSMS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 o superior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de 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o superior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Ejecutar la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 o superior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Compilar la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o superior (incluye npm)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Ejecutar el frontend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cualquiera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Clonar el repositorio</w:t>
            </w:r>
          </w:p>
        </w:tc>
      </w:tr>
    </w:tbl>
    <w:bookmarkEnd w:id="20"/>
    <w:bookmarkStart w:id="21" w:name="obtener-el-código"/>
    <w:p>
      <w:pPr>
        <w:pStyle w:val="Heading2"/>
      </w:pPr>
      <w:r>
        <w:t xml:space="preserve">2. Obtener el código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https://github.com/USUARIO/ferreteria-inventario-ventas.git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ferreteria-inventario-ventas</w:t>
      </w:r>
    </w:p>
    <w:bookmarkEnd w:id="21"/>
    <w:bookmarkStart w:id="22" w:name="base-de-datos-sql-server"/>
    <w:p>
      <w:pPr>
        <w:pStyle w:val="Heading2"/>
      </w:pPr>
      <w:r>
        <w:t xml:space="preserve">3. Base de datos (SQL Server)</w:t>
      </w:r>
    </w:p>
    <w:p>
      <w:pPr>
        <w:numPr>
          <w:ilvl w:val="0"/>
          <w:numId w:val="1001"/>
        </w:numPr>
        <w:pStyle w:val="Compact"/>
      </w:pPr>
      <w:r>
        <w:t xml:space="preserve">Abrir</w:t>
      </w:r>
      <w:r>
        <w:t xml:space="preserve"> </w:t>
      </w:r>
      <w:r>
        <w:rPr>
          <w:bCs/>
          <w:b/>
        </w:rPr>
        <w:t xml:space="preserve">SQL Server Configuration Manager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Protocolos de SQL Server Express</w:t>
      </w:r>
      <w:r>
        <w:t xml:space="preserve"> </w:t>
      </w:r>
      <w:r>
        <w:t xml:space="preserve">→ habilitar</w:t>
      </w:r>
      <w:r>
        <w:t xml:space="preserve"> </w:t>
      </w:r>
      <w:r>
        <w:rPr>
          <w:bCs/>
          <w:b/>
        </w:rPr>
        <w:t xml:space="preserve">TCP/IP</w:t>
      </w:r>
      <w:r>
        <w:t xml:space="preserve">; en sus propiedades, pestaña</w:t>
      </w:r>
      <w:r>
        <w:t xml:space="preserve"> </w:t>
      </w:r>
      <w:r>
        <w:rPr>
          <w:iCs/>
          <w:i/>
        </w:rPr>
        <w:t xml:space="preserve">Direcciones IP</w:t>
      </w:r>
      <w:r>
        <w:t xml:space="preserve">, sección</w:t>
      </w:r>
      <w:r>
        <w:t xml:space="preserve"> </w:t>
      </w:r>
      <w:r>
        <w:rPr>
          <w:bCs/>
          <w:b/>
        </w:rPr>
        <w:t xml:space="preserve">IPAll</w:t>
      </w:r>
      <w:r>
        <w:t xml:space="preserve">:</w:t>
      </w:r>
      <w:r>
        <w:t xml:space="preserve"> </w:t>
      </w:r>
      <w:r>
        <w:rPr>
          <w:iCs/>
          <w:i/>
        </w:rPr>
        <w:t xml:space="preserve">Puertos TCP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1433</w:t>
      </w:r>
      <w:r>
        <w:t xml:space="preserve"> </w:t>
      </w:r>
      <w:r>
        <w:t xml:space="preserve">y</w:t>
      </w:r>
      <w:r>
        <w:t xml:space="preserve"> </w:t>
      </w:r>
      <w:r>
        <w:rPr>
          <w:iCs/>
          <w:i/>
        </w:rPr>
        <w:t xml:space="preserve">Puertos dinámicos</w:t>
      </w:r>
      <w:r>
        <w:t xml:space="preserve"> </w:t>
      </w:r>
      <w:r>
        <w:t xml:space="preserve">en blanco. Reiniciar el servicio</w:t>
      </w:r>
      <w:r>
        <w:t xml:space="preserve"> </w:t>
      </w:r>
      <w:r>
        <w:rPr>
          <w:bCs/>
          <w:b/>
        </w:rPr>
        <w:t xml:space="preserve">SQL Server (SQLEXPRESS)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En SSMS, clic derecho en el servidor →</w:t>
      </w:r>
      <w:r>
        <w:t xml:space="preserve"> </w:t>
      </w:r>
      <w:r>
        <w:rPr>
          <w:iCs/>
          <w:i/>
        </w:rPr>
        <w:t xml:space="preserve">Propiedades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Seguridad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Modo de autenticación de SQL Server y Windows</w:t>
      </w:r>
      <w:r>
        <w:t xml:space="preserve">. Reiniciar el servicio.</w:t>
      </w:r>
    </w:p>
    <w:p>
      <w:pPr>
        <w:numPr>
          <w:ilvl w:val="0"/>
          <w:numId w:val="1001"/>
        </w:numPr>
        <w:pStyle w:val="Compact"/>
      </w:pPr>
      <w:r>
        <w:t xml:space="preserve">Habilitar el inicio de sesión</w:t>
      </w:r>
      <w:r>
        <w:t xml:space="preserve"> </w:t>
      </w:r>
      <w:r>
        <w:rPr>
          <w:rStyle w:val="VerbatimChar"/>
        </w:rPr>
        <w:t xml:space="preserve">sa</w:t>
      </w:r>
      <w:r>
        <w:t xml:space="preserve"> </w:t>
      </w:r>
      <w:r>
        <w:t xml:space="preserve">y asignarle una contraseña (Seguridad → Inicios de sesión → sa → Propiedades).</w:t>
      </w:r>
    </w:p>
    <w:p>
      <w:pPr>
        <w:numPr>
          <w:ilvl w:val="0"/>
          <w:numId w:val="1001"/>
        </w:numPr>
        <w:pStyle w:val="Compact"/>
      </w:pPr>
      <w:r>
        <w:t xml:space="preserve">En SSMS abrir y ejecutar, en este orden, con</w:t>
      </w:r>
      <w:r>
        <w:t xml:space="preserve"> </w:t>
      </w:r>
      <w:r>
        <w:rPr>
          <w:bCs/>
          <w:b/>
        </w:rPr>
        <w:t xml:space="preserve">F5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04_Base_de_Datos/01_crear_base_datos.sql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04_Base_de_Datos/02_datos_prueba.sql</w:t>
      </w:r>
    </w:p>
    <w:bookmarkEnd w:id="22"/>
    <w:bookmarkStart w:id="23" w:name="api-spring-boot"/>
    <w:p>
      <w:pPr>
        <w:pStyle w:val="Heading2"/>
      </w:pPr>
      <w:r>
        <w:t xml:space="preserve">4. API (Spring Boot)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03_Codigo_Fuente/backend</w:t>
      </w:r>
      <w:r>
        <w:br/>
      </w:r>
      <w:r>
        <w:rPr>
          <w:rStyle w:val="CommentTok"/>
        </w:rPr>
        <w:t xml:space="preserve"># Windows (PowerShell)</w:t>
      </w:r>
      <w:r>
        <w:br/>
      </w:r>
      <w:r>
        <w:rPr>
          <w:rStyle w:val="VariableTok"/>
        </w:rPr>
        <w:t xml:space="preserve">$env</w:t>
      </w:r>
      <w:r>
        <w:rPr>
          <w:rStyle w:val="ExtensionTok"/>
        </w:rPr>
        <w:t xml:space="preserve">:DB_USER=</w:t>
      </w:r>
      <w:r>
        <w:rPr>
          <w:rStyle w:val="StringTok"/>
        </w:rPr>
        <w:t xml:space="preserve">"sa"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ExtensionTok"/>
        </w:rPr>
        <w:t xml:space="preserve">:DB_PASSWORD=</w:t>
      </w:r>
      <w:r>
        <w:rPr>
          <w:rStyle w:val="StringTok"/>
        </w:rPr>
        <w:t xml:space="preserve">"TU_CLAVE_DE_SA"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ExtensionTok"/>
        </w:rPr>
        <w:t xml:space="preserve">:JWT_SECRET=</w:t>
      </w:r>
      <w:r>
        <w:rPr>
          <w:rStyle w:val="StringTok"/>
        </w:rPr>
        <w:t xml:space="preserve">"una-clave-larga-de-32-caracteres-o-mas"</w:t>
      </w:r>
      <w:r>
        <w:br/>
      </w:r>
      <w:r>
        <w:rPr>
          <w:rStyle w:val="CommentTok"/>
        </w:rPr>
        <w:t xml:space="preserve"># Linux / macOS</w:t>
      </w:r>
      <w:r>
        <w:br/>
      </w:r>
      <w:r>
        <w:rPr>
          <w:rStyle w:val="CommentTok"/>
        </w:rPr>
        <w:t xml:space="preserve"># export DB_USER=sa DB_PASSWORD=TU_CLAVE_DE_SA JWT_SECRET=una-clave-larga-de-32-caracteres-o-mas</w:t>
      </w:r>
      <w:r>
        <w:br/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spring-boot:run</w:t>
      </w:r>
    </w:p>
    <w:p>
      <w:pPr>
        <w:pStyle w:val="FirstParagraph"/>
      </w:pPr>
      <w:r>
        <w:t xml:space="preserve">La API queda en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. En el primer inicio reemplaza los marcadores de contraseña de los usuarios de prueba por hashes BCrypt.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Contraseña 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vendedor1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Vendedor123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Vendedor</w:t>
            </w:r>
          </w:p>
        </w:tc>
      </w:tr>
    </w:tbl>
    <w:p>
      <w:pPr>
        <w:pStyle w:val="BodyText"/>
      </w:pPr>
      <w:r>
        <w:rPr>
          <w:bCs/>
          <w:b/>
        </w:rPr>
        <w:t xml:space="preserve">Cambie estas contraseñas</w:t>
      </w:r>
      <w:r>
        <w:t xml:space="preserve"> </w:t>
      </w:r>
      <w:r>
        <w:t xml:space="preserve">(variables</w:t>
      </w:r>
      <w:r>
        <w:t xml:space="preserve"> </w:t>
      </w:r>
      <w:r>
        <w:rPr>
          <w:rStyle w:val="VerbatimChar"/>
        </w:rPr>
        <w:t xml:space="preserve">SEED_ADMIN_PASSWORD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SEED_VENDEDOR_PASSWORD</w:t>
      </w:r>
      <w:r>
        <w:t xml:space="preserve"> </w:t>
      </w:r>
      <w:r>
        <w:t xml:space="preserve">antes del primer inicio, o desde la pantalla Usuarios).</w:t>
      </w:r>
    </w:p>
    <w:bookmarkEnd w:id="23"/>
    <w:bookmarkStart w:id="24" w:name="frontend-react"/>
    <w:p>
      <w:pPr>
        <w:pStyle w:val="Heading2"/>
      </w:pPr>
      <w:r>
        <w:t xml:space="preserve">5. Frontend (React)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03_Codigo_Fuente/frontend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Abrir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. Si la API está en otra dirección, copie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y ajuste</w:t>
      </w:r>
      <w:r>
        <w:t xml:space="preserve"> </w:t>
      </w:r>
      <w:r>
        <w:rPr>
          <w:rStyle w:val="VerbatimChar"/>
        </w:rPr>
        <w:t xml:space="preserve">VITE_API_URL</w:t>
      </w:r>
      <w:r>
        <w:t xml:space="preserve">.</w:t>
      </w:r>
    </w:p>
    <w:bookmarkEnd w:id="24"/>
    <w:bookmarkStart w:id="25" w:name="ejecutar-las-pruebas"/>
    <w:p>
      <w:pPr>
        <w:pStyle w:val="Heading2"/>
      </w:pPr>
      <w:r>
        <w:t xml:space="preserve">6. Ejecutar las pruebas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03_Codigo_Fuente/backend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test</w:t>
      </w:r>
    </w:p>
    <w:p>
      <w:pPr>
        <w:pStyle w:val="FirstParagraph"/>
      </w:pPr>
      <w:r>
        <w:t xml:space="preserve">Las pruebas usan una base H2 en memoria; no tocan SQL Server.</w:t>
      </w:r>
    </w:p>
    <w:bookmarkEnd w:id="25"/>
    <w:bookmarkStart w:id="26" w:name="problemas-frecuentes"/>
    <w:p>
      <w:pPr>
        <w:pStyle w:val="Heading2"/>
      </w:pPr>
      <w:r>
        <w:t xml:space="preserve">7. Problemas frecuentes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Síntoma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 y 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 failed for user 'sa'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Autenticación mixta o</w:t>
            </w:r>
            <w:r>
              <w:t xml:space="preserve"> </w:t>
            </w:r>
            <w:r>
              <w:rPr>
                <w:rStyle w:val="VerbatimChar"/>
              </w:rPr>
              <w:t xml:space="preserve">sa</w:t>
            </w:r>
            <w:r>
              <w:t xml:space="preserve"> </w:t>
            </w:r>
            <w:r>
              <w:t xml:space="preserve">deshabilitado: ver paso 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Connection refused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localhost:1433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no habilitado o servicio sin reiniciar.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pantalla dice</w:t>
            </w:r>
            <w:r>
              <w:t xml:space="preserve"> </w:t>
            </w:r>
            <w:r>
              <w:t xml:space="preserve">“</w:t>
            </w:r>
            <w:r>
              <w:t xml:space="preserve">No se pudo conectar con el servidor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API no está en ejecución o</w:t>
            </w:r>
            <w:r>
              <w:t xml:space="preserve"> </w:t>
            </w:r>
            <w:r>
              <w:rPr>
                <w:rStyle w:val="VerbatimChar"/>
              </w:rPr>
              <w:t xml:space="preserve">VITE_API_URL</w:t>
            </w:r>
            <w:r>
              <w:t xml:space="preserve"> </w:t>
            </w:r>
            <w:r>
              <w:t xml:space="preserve">es incorrecto.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de CORS en el navegador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frontend debe abrirse 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http://localhost:5173</w:t>
            </w:r>
            <w:r>
              <w:t xml:space="preserve"> </w:t>
            </w:r>
            <w:r>
              <w:t xml:space="preserve">(propiedad</w:t>
            </w:r>
            <w:r>
              <w:t xml:space="preserve"> </w:t>
            </w:r>
            <w:r>
              <w:rPr>
                <w:rStyle w:val="VerbatimChar"/>
              </w:rPr>
              <w:t xml:space="preserve">app.cors.origins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 or unsupported JWT secret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debe tener 32 caracteres o más.</w:t>
            </w:r>
          </w:p>
        </w:tc>
      </w:tr>
    </w:tbl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2026-10-05T22:13:06Z</dcterms:created>
  <dcterms:modified xsi:type="dcterms:W3CDTF">2026-10-05T22:13:06Z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