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1.png" ContentType="image/png"/>
  <Override PartName="/word/media/rId34.png" ContentType="image/png"/>
  <Override PartName="/word/media/rId25.png" ContentType="image/png"/>
  <Override PartName="/word/media/rId2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Evaluate Grade Decision Trees Over Time vQ0</w:t>
      </w:r>
    </w:p>
    <w:p>
      <w:pPr>
        <w:pStyle w:val="Author"/>
      </w:pPr>
      <w:r>
        <w:t xml:space="preserve">Bill Prisbrey</w:t>
      </w:r>
    </w:p>
    <w:p>
      <w:pPr>
        <w:pStyle w:val="Date"/>
      </w:pPr>
      <w:r>
        <w:t xml:space="preserve">February 25, 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0" w:name="summary"/>
    <w:p>
      <w:pPr>
        <w:pStyle w:val="Heading3"/>
      </w:pPr>
      <w:r>
        <w:t xml:space="preserve">SUMMARY</w:t>
      </w:r>
    </w:p>
    <w:p>
      <w:pPr>
        <w:pStyle w:val="FirstParagraph"/>
      </w:pPr>
      <w:r>
        <w:t xml:space="preserve">In order to examine trends in grade performance in initial math courses by first time freshmen over time, a series of predictive models were trained that used minimal and readily available information about first time freshmen.</w:t>
      </w:r>
    </w:p>
    <w:p>
      <w:pPr>
        <w:pStyle w:val="BodyText"/>
      </w:pPr>
      <w:r>
        <w:t xml:space="preserve">Eighteen predictive models were trained using extreme gradient boosting and an expanding window, where each year a consecutive year’s worth of data was added and a new subsequent year’s grades were predicted.</w:t>
      </w:r>
    </w:p>
    <w:p>
      <w:pPr>
        <w:pStyle w:val="BodyText"/>
      </w:pPr>
      <w:r>
        <w:t xml:space="preserve">The predictive models found a moderate relationship between math course grades and predictors that improved over time (starting with an r-squared value of ~0.2 and ending with a value of ~0.27 in 2024.)</w:t>
      </w:r>
    </w:p>
    <w:p>
      <w:pPr>
        <w:pStyle w:val="BodyText"/>
      </w:pPr>
      <w:r>
        <w:t xml:space="preserve">The most important predictor of grade performance in almost every year was the high school GPA, followed by the high school GPA z-score, combined distance, and ACT math z-score.</w:t>
      </w:r>
    </w:p>
    <w:p>
      <w:pPr>
        <w:pStyle w:val="BodyText"/>
      </w:pPr>
      <w:r>
        <w:t xml:space="preserve">Contrary to declining course selection accuracy, grade prediction improved over time. This may be due to:</w:t>
      </w:r>
    </w:p>
    <w:p>
      <w:pPr>
        <w:pStyle w:val="Compact"/>
        <w:numPr>
          <w:ilvl w:val="0"/>
          <w:numId w:val="1001"/>
        </w:numPr>
      </w:pPr>
      <w:r>
        <w:t xml:space="preserve">Grade inflation or compression.</w:t>
      </w:r>
    </w:p>
    <w:p>
      <w:pPr>
        <w:pStyle w:val="Compact"/>
        <w:numPr>
          <w:ilvl w:val="0"/>
          <w:numId w:val="1001"/>
        </w:numPr>
      </w:pPr>
      <w:r>
        <w:t xml:space="preserve">Course selection irrelevance or conversely course selection importance.</w:t>
      </w:r>
    </w:p>
    <w:p>
      <w:pPr>
        <w:pStyle w:val="FirstParagraph"/>
      </w:pPr>
      <w:r>
        <w:t xml:space="preserve">Possible next steps include:</w:t>
      </w:r>
    </w:p>
    <w:p>
      <w:pPr>
        <w:pStyle w:val="Compact"/>
        <w:numPr>
          <w:ilvl w:val="0"/>
          <w:numId w:val="1002"/>
        </w:numPr>
      </w:pPr>
      <w:r>
        <w:t xml:space="preserve">Discussing the results with instructors familiar with departmental history.</w:t>
      </w:r>
      <w:r>
        <w:br/>
      </w:r>
    </w:p>
    <w:p>
      <w:pPr>
        <w:pStyle w:val="Compact"/>
        <w:numPr>
          <w:ilvl w:val="0"/>
          <w:numId w:val="1002"/>
        </w:numPr>
      </w:pPr>
      <w:r>
        <w:t xml:space="preserve">Conducting a careful</w:t>
      </w:r>
      <w:r>
        <w:t xml:space="preserve"> </w:t>
      </w:r>
      <w:r>
        <w:t xml:space="preserve">“matching”</w:t>
      </w:r>
      <w:r>
        <w:t xml:space="preserve"> </w:t>
      </w:r>
      <w:r>
        <w:t xml:space="preserve">analysis to better gauge course importance.</w:t>
      </w:r>
      <w:r>
        <w:br/>
      </w:r>
    </w:p>
    <w:p>
      <w:pPr>
        <w:pStyle w:val="Compact"/>
        <w:numPr>
          <w:ilvl w:val="0"/>
          <w:numId w:val="1002"/>
        </w:numPr>
      </w:pPr>
      <w:r>
        <w:t xml:space="preserve">Repeating the analysis with clusters of similar courses.</w:t>
      </w:r>
    </w:p>
    <w:bookmarkEnd w:id="20"/>
    <w:bookmarkStart w:id="21" w:name="methodology"/>
    <w:p>
      <w:pPr>
        <w:pStyle w:val="Heading3"/>
      </w:pPr>
      <w:r>
        <w:t xml:space="preserve">METHODOLOGY</w:t>
      </w:r>
    </w:p>
    <w:p>
      <w:pPr>
        <w:pStyle w:val="FirstParagraph"/>
      </w:pPr>
      <w:r>
        <w:t xml:space="preserve">Data was prepared as described in the separate report,</w:t>
      </w:r>
      <w:r>
        <w:t xml:space="preserve"> </w:t>
      </w:r>
      <w:r>
        <w:t xml:space="preserve">“Source Data, Cleaning, and Preparation”</w:t>
      </w:r>
      <w:r>
        <w:t xml:space="preserve">.</w:t>
      </w:r>
    </w:p>
    <w:p>
      <w:pPr>
        <w:pStyle w:val="BodyText"/>
      </w:pPr>
      <w:r>
        <w:t xml:space="preserve">Predictive models were trained with package</w:t>
      </w:r>
      <w:r>
        <w:t xml:space="preserve"> </w:t>
      </w:r>
      <w:r>
        <w:t xml:space="preserve">“xgboost”</w:t>
      </w:r>
      <w:r>
        <w:t xml:space="preserve">.</w:t>
      </w:r>
    </w:p>
    <w:p>
      <w:pPr>
        <w:pStyle w:val="BodyText"/>
      </w:pPr>
      <w:r>
        <w:t xml:space="preserve">An expanding window of historical data was used, where one model was trained per year from 2007 to 2024. Each model incrementally added an additional year’s data and predicted on the subsequent year. For example, the predicted grades for the year 2020 was trained on data from the years 2005 to 2019.</w:t>
      </w:r>
    </w:p>
    <w:p>
      <w:pPr>
        <w:pStyle w:val="BodyText"/>
      </w:pPr>
      <w:r>
        <w:t xml:space="preserve">A value for math grade was predicted, and evaluated with root mean square error, mean absolute error, and r-squared values.</w:t>
      </w:r>
    </w:p>
    <w:bookmarkEnd w:id="21"/>
    <w:bookmarkStart w:id="22" w:name="discussion"/>
    <w:p>
      <w:pPr>
        <w:pStyle w:val="Heading3"/>
      </w:pPr>
      <w:r>
        <w:t xml:space="preserve">DISCUSSION</w:t>
      </w:r>
    </w:p>
    <w:p>
      <w:pPr>
        <w:pStyle w:val="FirstParagraph"/>
      </w:pPr>
      <w:r>
        <w:t xml:space="preserve">R-squared values fluctuated between ~0.2 and ~0.27, with a gently improving trend over time and the highest value in the last year. Mean absolute error and root mean square error followed a complementary pattern, gently declining over time with the lowest values in 2024 of 0.8 and 1 respectively.</w:t>
      </w:r>
    </w:p>
    <w:p>
      <w:pPr>
        <w:pStyle w:val="BodyText"/>
      </w:pPr>
      <w:r>
        <w:t xml:space="preserve">High school GPA was the most important variable in determining grade by a large margin, at a value of 100 for almost all years. High school GPA z-score, combined distance, and ACTMATH z-score are distantly next, with importance values between ~30 to ~50 in the last five years. The remaining variables fell below an importance value of 20.</w:t>
      </w:r>
    </w:p>
    <w:p>
      <w:pPr>
        <w:pStyle w:val="BodyText"/>
      </w:pPr>
      <w:r>
        <w:t xml:space="preserve">A notable omission in determining grade was the choice of course, possibly due to courses having very similar grade distributions (as noted in the report</w:t>
      </w:r>
      <w:r>
        <w:t xml:space="preserve"> </w:t>
      </w:r>
      <w:r>
        <w:t xml:space="preserve">“Predictors over time”</w:t>
      </w:r>
      <w:r>
        <w:t xml:space="preserve">). Another omission in determining grade was the ACT math test scores, possibly due to the courses being selected according to the ACT math test score (as noted in the report</w:t>
      </w:r>
      <w:r>
        <w:t xml:space="preserve"> </w:t>
      </w:r>
      <w:r>
        <w:t xml:space="preserve">“Evaluate Course Decision Trees Over Time.”</w:t>
      </w:r>
      <w:r>
        <w:t xml:space="preserve">)</w:t>
      </w:r>
    </w:p>
    <w:p>
      <w:pPr>
        <w:pStyle w:val="BodyText"/>
      </w:pPr>
      <w:r>
        <w:t xml:space="preserve">Some individual course activity includes:</w:t>
      </w:r>
    </w:p>
    <w:p>
      <w:pPr>
        <w:pStyle w:val="Compact"/>
        <w:numPr>
          <w:ilvl w:val="0"/>
          <w:numId w:val="1003"/>
        </w:numPr>
      </w:pPr>
      <w:r>
        <w:rPr>
          <w:i/>
          <w:iCs/>
        </w:rPr>
        <w:t xml:space="preserve">Math 1010:</w:t>
      </w:r>
      <w:r>
        <w:t xml:space="preserve"> </w:t>
      </w:r>
      <w:r>
        <w:t xml:space="preserve">Contrary to the course selection model, where course prediction accuracy declined, grade prediction accuracy increased from an r-squared value of 0.12 to a high of 0.35 in 2022 and 0.21 in 2024. No elbow was noticed in 2017, when enrollment and selection accuracy began to decline.</w:t>
      </w:r>
      <w:r>
        <w:br/>
      </w:r>
    </w:p>
    <w:p>
      <w:pPr>
        <w:pStyle w:val="Compact"/>
        <w:numPr>
          <w:ilvl w:val="0"/>
          <w:numId w:val="1003"/>
        </w:numPr>
      </w:pPr>
      <w:r>
        <w:rPr>
          <w:i/>
          <w:iCs/>
        </w:rPr>
        <w:t xml:space="preserve">Math 1090:</w:t>
      </w:r>
      <w:r>
        <w:t xml:space="preserve"> </w:t>
      </w:r>
      <w:r>
        <w:t xml:space="preserve">R-squared value was stable from 2016 onward from 0.15 to 0.2, but jumped in 2024 to 0.35.</w:t>
      </w:r>
    </w:p>
    <w:p>
      <w:pPr>
        <w:pStyle w:val="Compact"/>
        <w:numPr>
          <w:ilvl w:val="0"/>
          <w:numId w:val="1003"/>
        </w:numPr>
      </w:pPr>
      <w:r>
        <w:rPr>
          <w:i/>
          <w:iCs/>
        </w:rPr>
        <w:t xml:space="preserve">Math 1210:</w:t>
      </w:r>
      <w:r>
        <w:t xml:space="preserve"> </w:t>
      </w:r>
      <w:r>
        <w:t xml:space="preserve">R-squared value gently increased to a high of 0.28 in 2024, making both course and grade prediction relatively high.</w:t>
      </w:r>
      <w:r>
        <w:br/>
      </w:r>
    </w:p>
    <w:p>
      <w:pPr>
        <w:pStyle w:val="Compact"/>
        <w:numPr>
          <w:ilvl w:val="0"/>
          <w:numId w:val="1003"/>
        </w:numPr>
      </w:pPr>
      <w:r>
        <w:rPr>
          <w:i/>
          <w:iCs/>
        </w:rPr>
        <w:t xml:space="preserve">Math 1220:</w:t>
      </w:r>
      <w:r>
        <w:t xml:space="preserve"> </w:t>
      </w:r>
      <w:r>
        <w:t xml:space="preserve">R-squared was volatile over the entire time period with no apparent trend. It was highest in 2022 with a value of 0.32.</w:t>
      </w:r>
    </w:p>
    <w:p>
      <w:pPr>
        <w:pStyle w:val="FirstParagraph"/>
      </w:pPr>
      <w:r>
        <w:rPr>
          <w:b/>
          <w:bCs/>
          <w:i/>
          <w:iCs/>
        </w:rPr>
        <w:t xml:space="preserve">Why did course selection accuracy worsen while grade prediction accuracy improved?</w:t>
      </w:r>
    </w:p>
    <w:p>
      <w:pPr>
        <w:pStyle w:val="BodyText"/>
      </w:pPr>
      <w:r>
        <w:t xml:space="preserve">Predicting course selection and predicting course grade had two opposing trends: accuracy in course selection dramatically worsened while accuracy in grade prediction dramatically improved.</w:t>
      </w:r>
    </w:p>
    <w:p>
      <w:pPr>
        <w:pStyle w:val="BodyText"/>
      </w:pPr>
      <w:r>
        <w:t xml:space="preserve">Possible explanations include:</w:t>
      </w:r>
    </w:p>
    <w:p>
      <w:pPr>
        <w:pStyle w:val="Compact"/>
        <w:numPr>
          <w:ilvl w:val="0"/>
          <w:numId w:val="1004"/>
        </w:numPr>
      </w:pPr>
      <w:r>
        <w:rPr>
          <w:i/>
          <w:iCs/>
        </w:rPr>
        <w:t xml:space="preserve">Grade inflation or compression.</w:t>
      </w:r>
      <w:r>
        <w:t xml:space="preserve"> </w:t>
      </w:r>
      <w:r>
        <w:t xml:space="preserve">Grades are easier to predict when there is reduced spread.</w:t>
      </w:r>
    </w:p>
    <w:p>
      <w:pPr>
        <w:pStyle w:val="Compact"/>
        <w:numPr>
          <w:ilvl w:val="0"/>
          <w:numId w:val="1004"/>
        </w:numPr>
      </w:pPr>
      <w:r>
        <w:rPr>
          <w:i/>
          <w:iCs/>
        </w:rPr>
        <w:t xml:space="preserve">Course selection irrelevance.</w:t>
      </w:r>
      <w:r>
        <w:t xml:space="preserve"> </w:t>
      </w:r>
      <w:r>
        <w:t xml:space="preserve">The courses might overlap in their prerequisite skill expectations, level-setting one course as initially equivalent as others and emphasizing study ability over math ability.</w:t>
      </w:r>
      <w:r>
        <w:br/>
      </w:r>
    </w:p>
    <w:p>
      <w:pPr>
        <w:pStyle w:val="Compact"/>
        <w:numPr>
          <w:ilvl w:val="0"/>
          <w:numId w:val="1004"/>
        </w:numPr>
      </w:pPr>
      <w:r>
        <w:rPr>
          <w:i/>
          <w:iCs/>
        </w:rPr>
        <w:t xml:space="preserve">Course selection importance.</w:t>
      </w:r>
      <w:r>
        <w:t xml:space="preserve"> </w:t>
      </w:r>
      <w:r>
        <w:t xml:space="preserve">The courses might differ in their prerequisite skill expectations, and the decline in course selection guidance allows students to place themselves in courses they are ill-suited for, improving grade prediction accuracy for a broader mis-match.</w:t>
      </w:r>
    </w:p>
    <w:bookmarkEnd w:id="22"/>
    <w:bookmarkStart w:id="23" w:name="conclusions"/>
    <w:p>
      <w:pPr>
        <w:pStyle w:val="Heading3"/>
      </w:pPr>
      <w:r>
        <w:t xml:space="preserve">CONCLUSIONS</w:t>
      </w:r>
    </w:p>
    <w:p>
      <w:pPr>
        <w:pStyle w:val="FirstParagraph"/>
      </w:pPr>
      <w:r>
        <w:t xml:space="preserve">High school GPA, ACT math scores, and their derivative features, have reliably predicted grades over time with an r-squared value between 0.2 and 0.28.</w:t>
      </w:r>
    </w:p>
    <w:bookmarkEnd w:id="23"/>
    <w:bookmarkStart w:id="24" w:name="possible-next-steps"/>
    <w:p>
      <w:pPr>
        <w:pStyle w:val="Heading3"/>
      </w:pPr>
      <w:r>
        <w:t xml:space="preserve">POSSIBLE NEXT STEPS</w:t>
      </w:r>
    </w:p>
    <w:p>
      <w:pPr>
        <w:pStyle w:val="FirstParagraph"/>
      </w:pPr>
      <w:r>
        <w:t xml:space="preserve">A conversation with instructors familiar with the department history could describe their experience with the following elements:</w:t>
      </w:r>
    </w:p>
    <w:p>
      <w:pPr>
        <w:pStyle w:val="Compact"/>
        <w:numPr>
          <w:ilvl w:val="0"/>
          <w:numId w:val="1005"/>
        </w:numPr>
      </w:pPr>
      <w:r>
        <w:t xml:space="preserve">Increased grade predictability</w:t>
      </w:r>
    </w:p>
    <w:p>
      <w:pPr>
        <w:pStyle w:val="Compact"/>
        <w:numPr>
          <w:ilvl w:val="0"/>
          <w:numId w:val="1005"/>
        </w:numPr>
      </w:pPr>
      <w:r>
        <w:t xml:space="preserve">Grade compression or inflation</w:t>
      </w:r>
    </w:p>
    <w:p>
      <w:pPr>
        <w:pStyle w:val="Compact"/>
        <w:numPr>
          <w:ilvl w:val="0"/>
          <w:numId w:val="1005"/>
        </w:numPr>
      </w:pPr>
      <w:r>
        <w:t xml:space="preserve">Absorption of students that do not follow historical patterns in course selection</w:t>
      </w:r>
    </w:p>
    <w:p>
      <w:pPr>
        <w:pStyle w:val="Compact"/>
        <w:numPr>
          <w:ilvl w:val="0"/>
          <w:numId w:val="1005"/>
        </w:numPr>
      </w:pPr>
      <w:r>
        <w:t xml:space="preserve">The dramatic increase since 2020 in the increased</w:t>
      </w:r>
      <w:r>
        <w:t xml:space="preserve"> </w:t>
      </w:r>
      <w:r>
        <w:t xml:space="preserve">“distance”</w:t>
      </w:r>
      <w:r>
        <w:t xml:space="preserve"> </w:t>
      </w:r>
      <w:r>
        <w:t xml:space="preserve">of failing/at risk students, suggesting grade inflation</w:t>
      </w:r>
    </w:p>
    <w:p>
      <w:pPr>
        <w:pStyle w:val="FirstParagraph"/>
      </w:pPr>
      <w:r>
        <w:t xml:space="preserve">Careful</w:t>
      </w:r>
      <w:r>
        <w:t xml:space="preserve"> </w:t>
      </w:r>
      <w:r>
        <w:t xml:space="preserve">“matching”</w:t>
      </w:r>
      <w:r>
        <w:t xml:space="preserve"> </w:t>
      </w:r>
      <w:r>
        <w:t xml:space="preserve">to observe the accomplishments of similarly-qualified students in different courses would help clarify whether course selection was important or irrelevant.</w:t>
      </w:r>
    </w:p>
    <w:p>
      <w:pPr>
        <w:pStyle w:val="BodyText"/>
      </w:pPr>
      <w:r>
        <w:t xml:space="preserve">Repeating the analysis with clusters of similar courses could also help clarify the importance of course selection (as similar courses might have been irrelevant to grade prediction but clusters of similar courses would emphasize the differences and become relevant to grade prediction.)</w:t>
      </w:r>
    </w:p>
    <w:bookmarkEnd w:id="24"/>
    <w:bookmarkStart w:id="37" w:name="results"/>
    <w:p>
      <w:pPr>
        <w:pStyle w:val="Heading3"/>
      </w:pPr>
      <w:r>
        <w:t xml:space="preserve">RESULTS</w:t>
      </w:r>
    </w:p>
    <w:p>
      <w:pPr>
        <w:pStyle w:val="FirstParagraph"/>
      </w:pPr>
      <w:r>
        <w:drawing>
          <wp:inline>
            <wp:extent cx="5334000" cy="2286000"/>
            <wp:effectExtent b="0" l="0" r="0" t="0"/>
            <wp:docPr descr="" title="" id="26" name="Picture"/>
            <a:graphic>
              <a:graphicData uri="http://schemas.openxmlformats.org/drawingml/2006/picture">
                <pic:pic>
                  <pic:nvPicPr>
                    <pic:cNvPr descr="Evaluate-Grade-Decision-Trees-Over-Time-vQ0_files/figure-docx/unnamed-chunk-8-1.png" id="27" name="Picture"/>
                    <pic:cNvPicPr>
                      <a:picLocks noChangeArrowheads="1" noChangeAspect="1"/>
                    </pic:cNvPicPr>
                  </pic:nvPicPr>
                  <pic:blipFill>
                    <a:blip r:embed="rId25"/>
                    <a:stretch>
                      <a:fillRect/>
                    </a:stretch>
                  </pic:blipFill>
                  <pic:spPr bwMode="auto">
                    <a:xfrm>
                      <a:off x="0" y="0"/>
                      <a:ext cx="5334000" cy="2286000"/>
                    </a:xfrm>
                    <a:prstGeom prst="rect">
                      <a:avLst/>
                    </a:prstGeom>
                    <a:noFill/>
                    <a:ln w="9525">
                      <a:noFill/>
                      <a:headEnd/>
                      <a:tailEnd/>
                    </a:ln>
                  </pic:spPr>
                </pic:pic>
              </a:graphicData>
            </a:graphic>
          </wp:inline>
        </w:drawing>
      </w:r>
    </w:p>
    <w:p>
      <w:pPr>
        <w:pStyle w:val="BodyText"/>
      </w:pPr>
      <w:r>
        <w:drawing>
          <wp:inline>
            <wp:extent cx="5334000" cy="2286000"/>
            <wp:effectExtent b="0" l="0" r="0" t="0"/>
            <wp:docPr descr="" title="" id="29" name="Picture"/>
            <a:graphic>
              <a:graphicData uri="http://schemas.openxmlformats.org/drawingml/2006/picture">
                <pic:pic>
                  <pic:nvPicPr>
                    <pic:cNvPr descr="Evaluate-Grade-Decision-Trees-Over-Time-vQ0_files/figure-docx/unnamed-chunk-9-1.png" id="30" name="Picture"/>
                    <pic:cNvPicPr>
                      <a:picLocks noChangeArrowheads="1" noChangeAspect="1"/>
                    </pic:cNvPicPr>
                  </pic:nvPicPr>
                  <pic:blipFill>
                    <a:blip r:embed="rId28"/>
                    <a:stretch>
                      <a:fillRect/>
                    </a:stretch>
                  </pic:blipFill>
                  <pic:spPr bwMode="auto">
                    <a:xfrm>
                      <a:off x="0" y="0"/>
                      <a:ext cx="5334000" cy="2286000"/>
                    </a:xfrm>
                    <a:prstGeom prst="rect">
                      <a:avLst/>
                    </a:prstGeom>
                    <a:noFill/>
                    <a:ln w="9525">
                      <a:noFill/>
                      <a:headEnd/>
                      <a:tailEnd/>
                    </a:ln>
                  </pic:spPr>
                </pic:pic>
              </a:graphicData>
            </a:graphic>
          </wp:inline>
        </w:drawing>
      </w:r>
    </w:p>
    <w:p>
      <w:pPr>
        <w:pStyle w:val="BodyText"/>
      </w:pPr>
      <w:r>
        <w:drawing>
          <wp:inline>
            <wp:extent cx="5334000" cy="2286000"/>
            <wp:effectExtent b="0" l="0" r="0" t="0"/>
            <wp:docPr descr="" title="" id="32" name="Picture"/>
            <a:graphic>
              <a:graphicData uri="http://schemas.openxmlformats.org/drawingml/2006/picture">
                <pic:pic>
                  <pic:nvPicPr>
                    <pic:cNvPr descr="Evaluate-Grade-Decision-Trees-Over-Time-vQ0_files/figure-docx/unnamed-chunk-10-1.png" id="33" name="Picture"/>
                    <pic:cNvPicPr>
                      <a:picLocks noChangeArrowheads="1" noChangeAspect="1"/>
                    </pic:cNvPicPr>
                  </pic:nvPicPr>
                  <pic:blipFill>
                    <a:blip r:embed="rId31"/>
                    <a:stretch>
                      <a:fillRect/>
                    </a:stretch>
                  </pic:blipFill>
                  <pic:spPr bwMode="auto">
                    <a:xfrm>
                      <a:off x="0" y="0"/>
                      <a:ext cx="5334000" cy="2286000"/>
                    </a:xfrm>
                    <a:prstGeom prst="rect">
                      <a:avLst/>
                    </a:prstGeom>
                    <a:noFill/>
                    <a:ln w="9525">
                      <a:noFill/>
                      <a:headEnd/>
                      <a:tailEnd/>
                    </a:ln>
                  </pic:spPr>
                </pic:pic>
              </a:graphicData>
            </a:graphic>
          </wp:inline>
        </w:drawing>
      </w:r>
    </w:p>
    <w:p>
      <w:pPr>
        <w:pStyle w:val="BodyText"/>
      </w:pPr>
      <w:r>
        <w:drawing>
          <wp:inline>
            <wp:extent cx="5334000" cy="3809999"/>
            <wp:effectExtent b="0" l="0" r="0" t="0"/>
            <wp:docPr descr="" title="" id="35" name="Picture"/>
            <a:graphic>
              <a:graphicData uri="http://schemas.openxmlformats.org/drawingml/2006/picture">
                <pic:pic>
                  <pic:nvPicPr>
                    <pic:cNvPr descr="Evaluate-Grade-Decision-Trees-Over-Time-vQ0_files/figure-docx/unnamed-chunk-13-1.png" id="36" name="Picture"/>
                    <pic:cNvPicPr>
                      <a:picLocks noChangeArrowheads="1" noChangeAspect="1"/>
                    </pic:cNvPicPr>
                  </pic:nvPicPr>
                  <pic:blipFill>
                    <a:blip r:embed="rId34"/>
                    <a:stretch>
                      <a:fillRect/>
                    </a:stretch>
                  </pic:blipFill>
                  <pic:spPr bwMode="auto">
                    <a:xfrm>
                      <a:off x="0" y="0"/>
                      <a:ext cx="5334000" cy="3809999"/>
                    </a:xfrm>
                    <a:prstGeom prst="rect">
                      <a:avLst/>
                    </a:prstGeom>
                    <a:noFill/>
                    <a:ln w="9525">
                      <a:noFill/>
                      <a:headEnd/>
                      <a:tailEnd/>
                    </a:ln>
                  </pic:spPr>
                </pic:pic>
              </a:graphicData>
            </a:graphic>
          </wp:inline>
        </w:drawing>
      </w:r>
    </w:p>
    <w:p>
      <w:pPr>
        <w:pStyle w:val="BodyText"/>
      </w:pPr>
      <w:r>
        <w:t xml:space="preserve">Representative data from the year 2024</w:t>
      </w:r>
    </w:p>
    <w:p>
      <w:pPr>
        <w:pStyle w:val="TableCaption"/>
      </w:pPr>
      <w:r>
        <w:t xml:space="preserve">Data summary</w:t>
      </w:r>
    </w:p>
    <w:tbl>
      <w:tblPr>
        <w:tblStyle w:val="Table"/>
        <w:tblW w:type="auto" w:w="0"/>
        <w:tblLook w:firstRow="0" w:lastRow="0" w:firstColumn="0" w:lastColumn="0" w:noHBand="0" w:noVBand="0" w:val="0000"/>
        <w:tblCaption w:val="Data summary"/>
      </w:tblPr>
      <w:tblGrid>
        <w:gridCol w:w="3960"/>
        <w:gridCol w:w="3960"/>
      </w:tblGrid>
      <w:tr>
        <w:tc>
          <w:tcPr/>
          <w:p>
            <w:pPr>
              <w:pStyle w:val="Compact"/>
              <w:jc w:val="left"/>
            </w:pPr>
            <w:r>
              <w:t xml:space="preserve">Name</w:t>
            </w:r>
          </w:p>
        </w:tc>
        <w:tc>
          <w:tcPr/>
          <w:p>
            <w:pPr>
              <w:pStyle w:val="Compact"/>
              <w:jc w:val="left"/>
            </w:pPr>
            <w:r>
              <w:t xml:space="preserve">data_list[[</w:t>
            </w:r>
            <w:r>
              <w:t xml:space="preserve">“GRADEGPA”</w:t>
            </w:r>
            <w:r>
              <w:t xml:space="preserve">]][[…</w:t>
            </w:r>
          </w:p>
        </w:tc>
      </w:tr>
      <w:tr>
        <w:tc>
          <w:tcPr/>
          <w:p>
            <w:pPr>
              <w:pStyle w:val="Compact"/>
              <w:jc w:val="left"/>
            </w:pPr>
            <w:r>
              <w:t xml:space="preserve">Number of rows</w:t>
            </w:r>
          </w:p>
        </w:tc>
        <w:tc>
          <w:tcPr/>
          <w:p>
            <w:pPr>
              <w:pStyle w:val="Compact"/>
              <w:jc w:val="left"/>
            </w:pPr>
            <w:r>
              <w:t xml:space="preserve">1776</w:t>
            </w:r>
          </w:p>
        </w:tc>
      </w:tr>
      <w:tr>
        <w:tc>
          <w:tcPr/>
          <w:p>
            <w:pPr>
              <w:pStyle w:val="Compact"/>
              <w:jc w:val="left"/>
            </w:pPr>
            <w:r>
              <w:t xml:space="preserve">Number of columns</w:t>
            </w:r>
          </w:p>
        </w:tc>
        <w:tc>
          <w:tcPr/>
          <w:p>
            <w:pPr>
              <w:pStyle w:val="Compact"/>
              <w:jc w:val="left"/>
            </w:pPr>
            <w:r>
              <w:t xml:space="preserve">24</w:t>
            </w:r>
          </w:p>
        </w:tc>
      </w:tr>
      <w:tr>
        <w:tc>
          <w:tcPr/>
          <w:p>
            <w:pPr>
              <w:pStyle w:val="Compact"/>
              <w:jc w:val="left"/>
            </w:pPr>
            <w:r>
              <w:t xml:space="preserve">_______________________</w:t>
            </w:r>
          </w:p>
        </w:tc>
        <w:tc>
          <w:tcPr/>
          <w:p>
            <w:pPr>
              <w:pStyle w:val="Compact"/>
            </w:pPr>
          </w:p>
        </w:tc>
      </w:tr>
      <w:tr>
        <w:tc>
          <w:tcPr/>
          <w:p>
            <w:pPr>
              <w:pStyle w:val="Compact"/>
              <w:jc w:val="left"/>
            </w:pPr>
            <w:r>
              <w:t xml:space="preserve">Column type frequency:</w:t>
            </w:r>
          </w:p>
        </w:tc>
        <w:tc>
          <w:tcPr/>
          <w:p>
            <w:pPr>
              <w:pStyle w:val="Compact"/>
            </w:pPr>
          </w:p>
        </w:tc>
      </w:tr>
      <w:tr>
        <w:tc>
          <w:tcPr/>
          <w:p>
            <w:pPr>
              <w:pStyle w:val="Compact"/>
              <w:jc w:val="left"/>
            </w:pPr>
            <w:r>
              <w:t xml:space="preserve">character</w:t>
            </w:r>
          </w:p>
        </w:tc>
        <w:tc>
          <w:tcPr/>
          <w:p>
            <w:pPr>
              <w:pStyle w:val="Compact"/>
              <w:jc w:val="left"/>
            </w:pPr>
            <w:r>
              <w:t xml:space="preserve">5</w:t>
            </w:r>
          </w:p>
        </w:tc>
      </w:tr>
      <w:tr>
        <w:tc>
          <w:tcPr/>
          <w:p>
            <w:pPr>
              <w:pStyle w:val="Compact"/>
              <w:jc w:val="left"/>
            </w:pPr>
            <w:r>
              <w:t xml:space="preserve">factor</w:t>
            </w:r>
          </w:p>
        </w:tc>
        <w:tc>
          <w:tcPr/>
          <w:p>
            <w:pPr>
              <w:pStyle w:val="Compact"/>
              <w:jc w:val="left"/>
            </w:pPr>
            <w:r>
              <w:t xml:space="preserve">3</w:t>
            </w:r>
          </w:p>
        </w:tc>
      </w:tr>
      <w:tr>
        <w:tc>
          <w:tcPr/>
          <w:p>
            <w:pPr>
              <w:pStyle w:val="Compact"/>
              <w:jc w:val="left"/>
            </w:pPr>
            <w:r>
              <w:t xml:space="preserve">numeric</w:t>
            </w:r>
          </w:p>
        </w:tc>
        <w:tc>
          <w:tcPr/>
          <w:p>
            <w:pPr>
              <w:pStyle w:val="Compact"/>
              <w:jc w:val="left"/>
            </w:pPr>
            <w:r>
              <w:t xml:space="preserve">16</w:t>
            </w:r>
          </w:p>
        </w:tc>
      </w:tr>
      <w:tr>
        <w:tc>
          <w:tcPr/>
          <w:p>
            <w:pPr>
              <w:pStyle w:val="Compact"/>
              <w:jc w:val="left"/>
            </w:pPr>
            <w:r>
              <w:t xml:space="preserve">________________________</w:t>
            </w:r>
          </w:p>
        </w:tc>
        <w:tc>
          <w:tcPr/>
          <w:p>
            <w:pPr>
              <w:pStyle w:val="Compact"/>
            </w:pPr>
          </w:p>
        </w:tc>
      </w:tr>
      <w:tr>
        <w:tc>
          <w:tcPr/>
          <w:p>
            <w:pPr>
              <w:pStyle w:val="Compact"/>
              <w:jc w:val="left"/>
            </w:pPr>
            <w:r>
              <w:t xml:space="preserve">Group variables</w:t>
            </w:r>
          </w:p>
        </w:tc>
        <w:tc>
          <w:tcPr/>
          <w:p>
            <w:pPr>
              <w:pStyle w:val="Compact"/>
              <w:jc w:val="left"/>
            </w:pPr>
            <w:r>
              <w:t xml:space="preserve">None</w:t>
            </w:r>
          </w:p>
        </w:tc>
      </w:tr>
    </w:tbl>
    <w:p>
      <w:pPr>
        <w:pStyle w:val="BodyText"/>
      </w:pPr>
      <w:r>
        <w:rPr>
          <w:b/>
          <w:bCs/>
        </w:rPr>
        <w:t xml:space="preserve">Variable type: character</w:t>
      </w:r>
    </w:p>
    <w:tbl>
      <w:tblPr>
        <w:tblStyle w:val="Table"/>
        <w:tblW w:type="pct" w:w="5000"/>
        <w:tblLayout w:type="fixed"/>
        <w:tblLook w:firstRow="1" w:lastRow="0" w:firstColumn="0" w:lastColumn="0" w:noHBand="0" w:noVBand="0" w:val="0020"/>
      </w:tblPr>
      <w:tblGrid>
        <w:gridCol w:w="2030"/>
        <w:gridCol w:w="1015"/>
        <w:gridCol w:w="1421"/>
        <w:gridCol w:w="406"/>
        <w:gridCol w:w="406"/>
        <w:gridCol w:w="609"/>
        <w:gridCol w:w="913"/>
        <w:gridCol w:w="1116"/>
      </w:tblGrid>
      <w:tr>
        <w:trPr>
          <w:tblHeader w:val="on"/>
        </w:trPr>
        <w:tc>
          <w:tcPr/>
          <w:p>
            <w:pPr>
              <w:pStyle w:val="Compact"/>
              <w:jc w:val="left"/>
            </w:pPr>
            <w:r>
              <w:t xml:space="preserve">skim_variable</w:t>
            </w:r>
          </w:p>
        </w:tc>
        <w:tc>
          <w:tcPr/>
          <w:p>
            <w:pPr>
              <w:pStyle w:val="Compact"/>
              <w:jc w:val="right"/>
            </w:pPr>
            <w:r>
              <w:t xml:space="preserve">n_missing</w:t>
            </w:r>
          </w:p>
        </w:tc>
        <w:tc>
          <w:tcPr/>
          <w:p>
            <w:pPr>
              <w:pStyle w:val="Compact"/>
              <w:jc w:val="right"/>
            </w:pPr>
            <w:r>
              <w:t xml:space="preserve">complete_rate</w:t>
            </w:r>
          </w:p>
        </w:tc>
        <w:tc>
          <w:tcPr/>
          <w:p>
            <w:pPr>
              <w:pStyle w:val="Compact"/>
              <w:jc w:val="right"/>
            </w:pPr>
            <w:r>
              <w:t xml:space="preserve">min</w:t>
            </w:r>
          </w:p>
        </w:tc>
        <w:tc>
          <w:tcPr/>
          <w:p>
            <w:pPr>
              <w:pStyle w:val="Compact"/>
              <w:jc w:val="right"/>
            </w:pPr>
            <w:r>
              <w:t xml:space="preserve">max</w:t>
            </w:r>
          </w:p>
        </w:tc>
        <w:tc>
          <w:tcPr/>
          <w:p>
            <w:pPr>
              <w:pStyle w:val="Compact"/>
              <w:jc w:val="right"/>
            </w:pPr>
            <w:r>
              <w:t xml:space="preserve">empty</w:t>
            </w:r>
          </w:p>
        </w:tc>
        <w:tc>
          <w:tcPr/>
          <w:p>
            <w:pPr>
              <w:pStyle w:val="Compact"/>
              <w:jc w:val="right"/>
            </w:pPr>
            <w:r>
              <w:t xml:space="preserve">n_unique</w:t>
            </w:r>
          </w:p>
        </w:tc>
        <w:tc>
          <w:tcPr/>
          <w:p>
            <w:pPr>
              <w:pStyle w:val="Compact"/>
              <w:jc w:val="right"/>
            </w:pPr>
            <w:r>
              <w:t xml:space="preserve">whitespace</w:t>
            </w:r>
          </w:p>
        </w:tc>
      </w:tr>
      <w:tr>
        <w:tc>
          <w:tcPr/>
          <w:p>
            <w:pPr>
              <w:pStyle w:val="Compact"/>
              <w:jc w:val="left"/>
            </w:pPr>
            <w:r>
              <w:t xml:space="preserve">SEX</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2</w:t>
            </w:r>
          </w:p>
        </w:tc>
        <w:tc>
          <w:tcPr/>
          <w:p>
            <w:pPr>
              <w:pStyle w:val="Compact"/>
              <w:jc w:val="right"/>
            </w:pPr>
            <w:r>
              <w:t xml:space="preserve">0</w:t>
            </w:r>
          </w:p>
        </w:tc>
      </w:tr>
      <w:tr>
        <w:tc>
          <w:tcPr/>
          <w:p>
            <w:pPr>
              <w:pStyle w:val="Compact"/>
              <w:jc w:val="left"/>
            </w:pPr>
            <w:r>
              <w:t xml:space="preserve">FIRST_GEN_STATUS_CD</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3</w:t>
            </w:r>
          </w:p>
        </w:tc>
        <w:tc>
          <w:tcPr/>
          <w:p>
            <w:pPr>
              <w:pStyle w:val="Compact"/>
              <w:jc w:val="right"/>
            </w:pPr>
            <w:r>
              <w:t xml:space="preserve">0</w:t>
            </w:r>
          </w:p>
        </w:tc>
      </w:tr>
      <w:tr>
        <w:tc>
          <w:tcPr/>
          <w:p>
            <w:pPr>
              <w:pStyle w:val="Compact"/>
              <w:jc w:val="left"/>
            </w:pPr>
            <w:r>
              <w:t xml:space="preserve">RESSTAT</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2</w:t>
            </w:r>
          </w:p>
        </w:tc>
        <w:tc>
          <w:tcPr/>
          <w:p>
            <w:pPr>
              <w:pStyle w:val="Compact"/>
              <w:jc w:val="right"/>
            </w:pPr>
            <w:r>
              <w:t xml:space="preserve">0</w:t>
            </w:r>
          </w:p>
        </w:tc>
      </w:tr>
      <w:tr>
        <w:tc>
          <w:tcPr/>
          <w:p>
            <w:pPr>
              <w:pStyle w:val="Compact"/>
              <w:jc w:val="left"/>
            </w:pPr>
            <w:r>
              <w:t xml:space="preserve">HSPRIVATE</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2</w:t>
            </w:r>
          </w:p>
        </w:tc>
        <w:tc>
          <w:tcPr/>
          <w:p>
            <w:pPr>
              <w:pStyle w:val="Compact"/>
              <w:jc w:val="right"/>
            </w:pPr>
            <w:r>
              <w:t xml:space="preserve">0</w:t>
            </w:r>
          </w:p>
        </w:tc>
      </w:tr>
      <w:tr>
        <w:tc>
          <w:tcPr/>
          <w:p>
            <w:pPr>
              <w:pStyle w:val="Compact"/>
              <w:jc w:val="left"/>
            </w:pPr>
            <w:r>
              <w:t xml:space="preserve">season</w:t>
            </w:r>
          </w:p>
        </w:tc>
        <w:tc>
          <w:tcPr/>
          <w:p>
            <w:pPr>
              <w:pStyle w:val="Compact"/>
              <w:jc w:val="right"/>
            </w:pPr>
            <w:r>
              <w:t xml:space="preserve">0</w:t>
            </w:r>
          </w:p>
        </w:tc>
        <w:tc>
          <w:tcPr/>
          <w:p>
            <w:pPr>
              <w:pStyle w:val="Compact"/>
              <w:jc w:val="right"/>
            </w:pPr>
            <w:r>
              <w:t xml:space="preserve">1</w:t>
            </w:r>
          </w:p>
        </w:tc>
        <w:tc>
          <w:tcPr/>
          <w:p>
            <w:pPr>
              <w:pStyle w:val="Compact"/>
              <w:jc w:val="right"/>
            </w:pPr>
            <w:r>
              <w:t xml:space="preserve">4</w:t>
            </w:r>
          </w:p>
        </w:tc>
        <w:tc>
          <w:tcPr/>
          <w:p>
            <w:pPr>
              <w:pStyle w:val="Compact"/>
              <w:jc w:val="right"/>
            </w:pPr>
            <w:r>
              <w:t xml:space="preserve">6</w:t>
            </w:r>
          </w:p>
        </w:tc>
        <w:tc>
          <w:tcPr/>
          <w:p>
            <w:pPr>
              <w:pStyle w:val="Compact"/>
              <w:jc w:val="right"/>
            </w:pPr>
            <w:r>
              <w:t xml:space="preserve">0</w:t>
            </w:r>
          </w:p>
        </w:tc>
        <w:tc>
          <w:tcPr/>
          <w:p>
            <w:pPr>
              <w:pStyle w:val="Compact"/>
              <w:jc w:val="right"/>
            </w:pPr>
            <w:r>
              <w:t xml:space="preserve">3</w:t>
            </w:r>
          </w:p>
        </w:tc>
        <w:tc>
          <w:tcPr/>
          <w:p>
            <w:pPr>
              <w:pStyle w:val="Compact"/>
              <w:jc w:val="right"/>
            </w:pPr>
            <w:r>
              <w:t xml:space="preserve">0</w:t>
            </w:r>
          </w:p>
        </w:tc>
      </w:tr>
    </w:tbl>
    <w:p>
      <w:pPr>
        <w:pStyle w:val="BodyText"/>
      </w:pPr>
      <w:r>
        <w:rPr>
          <w:b/>
          <w:bCs/>
        </w:rPr>
        <w:t xml:space="preserve">Variable type: factor</w:t>
      </w:r>
    </w:p>
    <w:tbl>
      <w:tblPr>
        <w:tblStyle w:val="Table"/>
        <w:tblW w:type="pct" w:w="5000"/>
        <w:tblLayout w:type="fixed"/>
        <w:tblLook w:firstRow="1" w:lastRow="0" w:firstColumn="0" w:lastColumn="0" w:noHBand="0" w:noVBand="0" w:val="0020"/>
      </w:tblPr>
      <w:tblGrid>
        <w:gridCol w:w="1179"/>
        <w:gridCol w:w="842"/>
        <w:gridCol w:w="1179"/>
        <w:gridCol w:w="674"/>
        <w:gridCol w:w="758"/>
        <w:gridCol w:w="3285"/>
      </w:tblGrid>
      <w:tr>
        <w:trPr>
          <w:tblHeader w:val="on"/>
        </w:trPr>
        <w:tc>
          <w:tcPr/>
          <w:p>
            <w:pPr>
              <w:pStyle w:val="Compact"/>
              <w:jc w:val="left"/>
            </w:pPr>
            <w:r>
              <w:t xml:space="preserve">skim_variable</w:t>
            </w:r>
          </w:p>
        </w:tc>
        <w:tc>
          <w:tcPr/>
          <w:p>
            <w:pPr>
              <w:pStyle w:val="Compact"/>
              <w:jc w:val="right"/>
            </w:pPr>
            <w:r>
              <w:t xml:space="preserve">n_missing</w:t>
            </w:r>
          </w:p>
        </w:tc>
        <w:tc>
          <w:tcPr/>
          <w:p>
            <w:pPr>
              <w:pStyle w:val="Compact"/>
              <w:jc w:val="right"/>
            </w:pPr>
            <w:r>
              <w:t xml:space="preserve">complete_rate</w:t>
            </w:r>
          </w:p>
        </w:tc>
        <w:tc>
          <w:tcPr/>
          <w:p>
            <w:pPr>
              <w:pStyle w:val="Compact"/>
              <w:jc w:val="left"/>
            </w:pPr>
            <w:r>
              <w:t xml:space="preserve">ordered</w:t>
            </w:r>
          </w:p>
        </w:tc>
        <w:tc>
          <w:tcPr/>
          <w:p>
            <w:pPr>
              <w:pStyle w:val="Compact"/>
              <w:jc w:val="right"/>
            </w:pPr>
            <w:r>
              <w:t xml:space="preserve">n_unique</w:t>
            </w:r>
          </w:p>
        </w:tc>
        <w:tc>
          <w:tcPr/>
          <w:p>
            <w:pPr>
              <w:pStyle w:val="Compact"/>
              <w:jc w:val="left"/>
            </w:pPr>
            <w:r>
              <w:t xml:space="preserve">top_counts</w:t>
            </w:r>
          </w:p>
        </w:tc>
      </w:tr>
      <w:tr>
        <w:tc>
          <w:tcPr/>
          <w:p>
            <w:pPr>
              <w:pStyle w:val="Compact"/>
              <w:jc w:val="left"/>
            </w:pPr>
            <w:r>
              <w:t xml:space="preserve">course</w:t>
            </w:r>
          </w:p>
        </w:tc>
        <w:tc>
          <w:tcPr/>
          <w:p>
            <w:pPr>
              <w:pStyle w:val="Compact"/>
              <w:jc w:val="right"/>
            </w:pPr>
            <w:r>
              <w:t xml:space="preserve">0</w:t>
            </w:r>
          </w:p>
        </w:tc>
        <w:tc>
          <w:tcPr/>
          <w:p>
            <w:pPr>
              <w:pStyle w:val="Compact"/>
              <w:jc w:val="right"/>
            </w:pPr>
            <w:r>
              <w:t xml:space="preserve">1</w:t>
            </w:r>
          </w:p>
        </w:tc>
        <w:tc>
          <w:tcPr/>
          <w:p>
            <w:pPr>
              <w:pStyle w:val="Compact"/>
              <w:jc w:val="left"/>
            </w:pPr>
            <w:r>
              <w:t xml:space="preserve">FALSE</w:t>
            </w:r>
          </w:p>
        </w:tc>
        <w:tc>
          <w:tcPr/>
          <w:p>
            <w:pPr>
              <w:pStyle w:val="Compact"/>
              <w:jc w:val="right"/>
            </w:pPr>
            <w:r>
              <w:t xml:space="preserve">20</w:t>
            </w:r>
          </w:p>
        </w:tc>
        <w:tc>
          <w:tcPr/>
          <w:p>
            <w:pPr>
              <w:pStyle w:val="Compact"/>
              <w:jc w:val="left"/>
            </w:pPr>
            <w:r>
              <w:t xml:space="preserve">MAT: 287, MAT: 274, MAT: 233, MAT: 166</w:t>
            </w:r>
          </w:p>
        </w:tc>
      </w:tr>
      <w:tr>
        <w:tc>
          <w:tcPr/>
          <w:p>
            <w:pPr>
              <w:pStyle w:val="Compact"/>
              <w:jc w:val="left"/>
            </w:pPr>
            <w:r>
              <w:t xml:space="preserve">ETHNICITY</w:t>
            </w:r>
          </w:p>
        </w:tc>
        <w:tc>
          <w:tcPr/>
          <w:p>
            <w:pPr>
              <w:pStyle w:val="Compact"/>
              <w:jc w:val="right"/>
            </w:pPr>
            <w:r>
              <w:t xml:space="preserve">0</w:t>
            </w:r>
          </w:p>
        </w:tc>
        <w:tc>
          <w:tcPr/>
          <w:p>
            <w:pPr>
              <w:pStyle w:val="Compact"/>
              <w:jc w:val="right"/>
            </w:pPr>
            <w:r>
              <w:t xml:space="preserve">1</w:t>
            </w:r>
          </w:p>
        </w:tc>
        <w:tc>
          <w:tcPr/>
          <w:p>
            <w:pPr>
              <w:pStyle w:val="Compact"/>
              <w:jc w:val="left"/>
            </w:pPr>
            <w:r>
              <w:t xml:space="preserve">FALSE</w:t>
            </w:r>
          </w:p>
        </w:tc>
        <w:tc>
          <w:tcPr/>
          <w:p>
            <w:pPr>
              <w:pStyle w:val="Compact"/>
              <w:jc w:val="right"/>
            </w:pPr>
            <w:r>
              <w:t xml:space="preserve">9</w:t>
            </w:r>
          </w:p>
        </w:tc>
        <w:tc>
          <w:tcPr/>
          <w:p>
            <w:pPr>
              <w:pStyle w:val="Compact"/>
              <w:jc w:val="left"/>
            </w:pPr>
            <w:r>
              <w:t xml:space="preserve">C: 1197, H: 263, A: 139, M: 110</w:t>
            </w:r>
          </w:p>
        </w:tc>
      </w:tr>
      <w:tr>
        <w:tc>
          <w:tcPr/>
          <w:p>
            <w:pPr>
              <w:pStyle w:val="Compact"/>
              <w:jc w:val="left"/>
            </w:pPr>
            <w:r>
              <w:t xml:space="preserve">age_cut</w:t>
            </w:r>
          </w:p>
        </w:tc>
        <w:tc>
          <w:tcPr/>
          <w:p>
            <w:pPr>
              <w:pStyle w:val="Compact"/>
              <w:jc w:val="right"/>
            </w:pPr>
            <w:r>
              <w:t xml:space="preserve">0</w:t>
            </w:r>
          </w:p>
        </w:tc>
        <w:tc>
          <w:tcPr/>
          <w:p>
            <w:pPr>
              <w:pStyle w:val="Compact"/>
              <w:jc w:val="right"/>
            </w:pPr>
            <w:r>
              <w:t xml:space="preserve">1</w:t>
            </w:r>
          </w:p>
        </w:tc>
        <w:tc>
          <w:tcPr/>
          <w:p>
            <w:pPr>
              <w:pStyle w:val="Compact"/>
              <w:jc w:val="left"/>
            </w:pPr>
            <w:r>
              <w:t xml:space="preserve">FALSE</w:t>
            </w:r>
          </w:p>
        </w:tc>
        <w:tc>
          <w:tcPr/>
          <w:p>
            <w:pPr>
              <w:pStyle w:val="Compact"/>
              <w:jc w:val="right"/>
            </w:pPr>
            <w:r>
              <w:t xml:space="preserve">5</w:t>
            </w:r>
          </w:p>
        </w:tc>
        <w:tc>
          <w:tcPr/>
          <w:p>
            <w:pPr>
              <w:pStyle w:val="Compact"/>
              <w:jc w:val="left"/>
            </w:pPr>
            <w:r>
              <w:t xml:space="preserve">(17: 1417, (18: 169, (19: 93, (0,: 92</w:t>
            </w:r>
          </w:p>
        </w:tc>
      </w:tr>
    </w:tbl>
    <w:p>
      <w:pPr>
        <w:pStyle w:val="BodyText"/>
      </w:pPr>
      <w:r>
        <w:rPr>
          <w:b/>
          <w:bCs/>
        </w:rPr>
        <w:t xml:space="preserve">Variable type: numeric</w:t>
      </w:r>
    </w:p>
    <w:tbl>
      <w:tblPr>
        <w:tblStyle w:val="Table"/>
        <w:tblW w:type="pct" w:w="5000"/>
        <w:tblLayout w:type="fixed"/>
        <w:tblLook w:firstRow="1" w:lastRow="0" w:firstColumn="0" w:lastColumn="0" w:noHBand="0" w:noVBand="0" w:val="0020"/>
      </w:tblPr>
      <w:tblGrid>
        <w:gridCol w:w="1131"/>
        <w:gridCol w:w="808"/>
        <w:gridCol w:w="1131"/>
        <w:gridCol w:w="646"/>
        <w:gridCol w:w="484"/>
        <w:gridCol w:w="646"/>
        <w:gridCol w:w="646"/>
        <w:gridCol w:w="646"/>
        <w:gridCol w:w="646"/>
        <w:gridCol w:w="646"/>
        <w:gridCol w:w="484"/>
      </w:tblGrid>
      <w:tr>
        <w:trPr>
          <w:tblHeader w:val="on"/>
        </w:trPr>
        <w:tc>
          <w:tcPr/>
          <w:p>
            <w:pPr>
              <w:pStyle w:val="Compact"/>
              <w:jc w:val="left"/>
            </w:pPr>
            <w:r>
              <w:t xml:space="preserve">skim_variable</w:t>
            </w:r>
          </w:p>
        </w:tc>
        <w:tc>
          <w:tcPr/>
          <w:p>
            <w:pPr>
              <w:pStyle w:val="Compact"/>
              <w:jc w:val="right"/>
            </w:pPr>
            <w:r>
              <w:t xml:space="preserve">n_missing</w:t>
            </w:r>
          </w:p>
        </w:tc>
        <w:tc>
          <w:tcPr/>
          <w:p>
            <w:pPr>
              <w:pStyle w:val="Compact"/>
              <w:jc w:val="right"/>
            </w:pPr>
            <w:r>
              <w:t xml:space="preserve">complete_rate</w:t>
            </w:r>
          </w:p>
        </w:tc>
        <w:tc>
          <w:tcPr/>
          <w:p>
            <w:pPr>
              <w:pStyle w:val="Compact"/>
              <w:jc w:val="right"/>
            </w:pPr>
            <w:r>
              <w:t xml:space="preserve">mean</w:t>
            </w:r>
          </w:p>
        </w:tc>
        <w:tc>
          <w:tcPr/>
          <w:p>
            <w:pPr>
              <w:pStyle w:val="Compact"/>
              <w:jc w:val="right"/>
            </w:pPr>
            <w:r>
              <w:t xml:space="preserve">sd</w:t>
            </w:r>
          </w:p>
        </w:tc>
        <w:tc>
          <w:tcPr/>
          <w:p>
            <w:pPr>
              <w:pStyle w:val="Compact"/>
              <w:jc w:val="right"/>
            </w:pPr>
            <w:r>
              <w:t xml:space="preserve">p0</w:t>
            </w:r>
          </w:p>
        </w:tc>
        <w:tc>
          <w:tcPr/>
          <w:p>
            <w:pPr>
              <w:pStyle w:val="Compact"/>
              <w:jc w:val="right"/>
            </w:pPr>
            <w:r>
              <w:t xml:space="preserve">p25</w:t>
            </w:r>
          </w:p>
        </w:tc>
        <w:tc>
          <w:tcPr/>
          <w:p>
            <w:pPr>
              <w:pStyle w:val="Compact"/>
              <w:jc w:val="right"/>
            </w:pPr>
            <w:r>
              <w:t xml:space="preserve">p50</w:t>
            </w:r>
          </w:p>
        </w:tc>
        <w:tc>
          <w:tcPr/>
          <w:p>
            <w:pPr>
              <w:pStyle w:val="Compact"/>
              <w:jc w:val="right"/>
            </w:pPr>
            <w:r>
              <w:t xml:space="preserve">p75</w:t>
            </w:r>
          </w:p>
        </w:tc>
        <w:tc>
          <w:tcPr/>
          <w:p>
            <w:pPr>
              <w:pStyle w:val="Compact"/>
              <w:jc w:val="right"/>
            </w:pPr>
            <w:r>
              <w:t xml:space="preserve">p100</w:t>
            </w:r>
          </w:p>
        </w:tc>
        <w:tc>
          <w:tcPr/>
          <w:p>
            <w:pPr>
              <w:pStyle w:val="Compact"/>
              <w:jc w:val="left"/>
            </w:pPr>
            <w:r>
              <w:t xml:space="preserve">hist</w:t>
            </w:r>
          </w:p>
        </w:tc>
      </w:tr>
      <w:tr>
        <w:tc>
          <w:tcPr/>
          <w:p>
            <w:pPr>
              <w:pStyle w:val="Compact"/>
              <w:jc w:val="left"/>
            </w:pPr>
            <w:r>
              <w:t xml:space="preserve">GRADEGPA</w:t>
            </w:r>
          </w:p>
        </w:tc>
        <w:tc>
          <w:tcPr/>
          <w:p>
            <w:pPr>
              <w:pStyle w:val="Compact"/>
              <w:jc w:val="right"/>
            </w:pPr>
            <w:r>
              <w:t xml:space="preserve">0</w:t>
            </w:r>
          </w:p>
        </w:tc>
        <w:tc>
          <w:tcPr/>
          <w:p>
            <w:pPr>
              <w:pStyle w:val="Compact"/>
              <w:jc w:val="right"/>
            </w:pPr>
            <w:r>
              <w:t xml:space="preserve">1</w:t>
            </w:r>
          </w:p>
        </w:tc>
        <w:tc>
          <w:tcPr/>
          <w:p>
            <w:pPr>
              <w:pStyle w:val="Compact"/>
              <w:jc w:val="right"/>
            </w:pPr>
            <w:r>
              <w:t xml:space="preserve">3.09</w:t>
            </w:r>
          </w:p>
        </w:tc>
        <w:tc>
          <w:tcPr/>
          <w:p>
            <w:pPr>
              <w:pStyle w:val="Compact"/>
              <w:jc w:val="right"/>
            </w:pPr>
            <w:r>
              <w:t xml:space="preserve">1.14</w:t>
            </w:r>
          </w:p>
        </w:tc>
        <w:tc>
          <w:tcPr/>
          <w:p>
            <w:pPr>
              <w:pStyle w:val="Compact"/>
              <w:jc w:val="right"/>
            </w:pPr>
            <w:r>
              <w:t xml:space="preserve">0.00</w:t>
            </w:r>
          </w:p>
        </w:tc>
        <w:tc>
          <w:tcPr/>
          <w:p>
            <w:pPr>
              <w:pStyle w:val="Compact"/>
              <w:jc w:val="right"/>
            </w:pPr>
            <w:r>
              <w:t xml:space="preserve">2.70</w:t>
            </w:r>
          </w:p>
        </w:tc>
        <w:tc>
          <w:tcPr/>
          <w:p>
            <w:pPr>
              <w:pStyle w:val="Compact"/>
              <w:jc w:val="right"/>
            </w:pPr>
            <w:r>
              <w:t xml:space="preserve">3.70</w:t>
            </w:r>
          </w:p>
        </w:tc>
        <w:tc>
          <w:tcPr/>
          <w:p>
            <w:pPr>
              <w:pStyle w:val="Compact"/>
              <w:jc w:val="right"/>
            </w:pPr>
            <w:r>
              <w:t xml:space="preserve">4.00</w:t>
            </w:r>
          </w:p>
        </w:tc>
        <w:tc>
          <w:tcPr/>
          <w:p>
            <w:pPr>
              <w:pStyle w:val="Compact"/>
              <w:jc w:val="right"/>
            </w:pPr>
            <w:r>
              <w:t xml:space="preserve">4.00</w:t>
            </w:r>
          </w:p>
        </w:tc>
        <w:tc>
          <w:tcPr/>
          <w:p>
            <w:pPr>
              <w:pStyle w:val="Compact"/>
              <w:jc w:val="left"/>
            </w:pPr>
            <w:r>
              <w:t xml:space="preserve">▁▁▂▂▇</w:t>
            </w:r>
          </w:p>
        </w:tc>
      </w:tr>
      <w:tr>
        <w:tc>
          <w:tcPr/>
          <w:p>
            <w:pPr>
              <w:pStyle w:val="Compact"/>
              <w:jc w:val="left"/>
            </w:pPr>
            <w:r>
              <w:t xml:space="preserve">FA_PELL</w:t>
            </w:r>
          </w:p>
        </w:tc>
        <w:tc>
          <w:tcPr/>
          <w:p>
            <w:pPr>
              <w:pStyle w:val="Compact"/>
              <w:jc w:val="right"/>
            </w:pPr>
            <w:r>
              <w:t xml:space="preserve">0</w:t>
            </w:r>
          </w:p>
        </w:tc>
        <w:tc>
          <w:tcPr/>
          <w:p>
            <w:pPr>
              <w:pStyle w:val="Compact"/>
              <w:jc w:val="right"/>
            </w:pPr>
            <w:r>
              <w:t xml:space="preserve">1</w:t>
            </w:r>
          </w:p>
        </w:tc>
        <w:tc>
          <w:tcPr/>
          <w:p>
            <w:pPr>
              <w:pStyle w:val="Compact"/>
              <w:jc w:val="right"/>
            </w:pPr>
            <w:r>
              <w:t xml:space="preserve">0.25</w:t>
            </w:r>
          </w:p>
        </w:tc>
        <w:tc>
          <w:tcPr/>
          <w:p>
            <w:pPr>
              <w:pStyle w:val="Compact"/>
              <w:jc w:val="right"/>
            </w:pPr>
            <w:r>
              <w:t xml:space="preserve">0.43</w:t>
            </w:r>
          </w:p>
        </w:tc>
        <w:tc>
          <w:tcPr/>
          <w:p>
            <w:pPr>
              <w:pStyle w:val="Compact"/>
              <w:jc w:val="right"/>
            </w:pPr>
            <w:r>
              <w:t xml:space="preserve">0.00</w:t>
            </w:r>
          </w:p>
        </w:tc>
        <w:tc>
          <w:tcPr/>
          <w:p>
            <w:pPr>
              <w:pStyle w:val="Compact"/>
              <w:jc w:val="right"/>
            </w:pPr>
            <w:r>
              <w:t xml:space="preserve">0.00</w:t>
            </w:r>
          </w:p>
        </w:tc>
        <w:tc>
          <w:tcPr/>
          <w:p>
            <w:pPr>
              <w:pStyle w:val="Compact"/>
              <w:jc w:val="right"/>
            </w:pPr>
            <w:r>
              <w:t xml:space="preserve">0.00</w:t>
            </w:r>
          </w:p>
        </w:tc>
        <w:tc>
          <w:tcPr/>
          <w:p>
            <w:pPr>
              <w:pStyle w:val="Compact"/>
              <w:jc w:val="right"/>
            </w:pPr>
            <w:r>
              <w:t xml:space="preserve">0.00</w:t>
            </w:r>
          </w:p>
        </w:tc>
        <w:tc>
          <w:tcPr/>
          <w:p>
            <w:pPr>
              <w:pStyle w:val="Compact"/>
              <w:jc w:val="right"/>
            </w:pPr>
            <w:r>
              <w:t xml:space="preserve">1.00</w:t>
            </w:r>
          </w:p>
        </w:tc>
        <w:tc>
          <w:tcPr/>
          <w:p>
            <w:pPr>
              <w:pStyle w:val="Compact"/>
              <w:jc w:val="left"/>
            </w:pPr>
            <w:r>
              <w:t xml:space="preserve">▇▁▁▁▂</w:t>
            </w:r>
          </w:p>
        </w:tc>
      </w:tr>
      <w:tr>
        <w:tc>
          <w:tcPr/>
          <w:p>
            <w:pPr>
              <w:pStyle w:val="Compact"/>
              <w:jc w:val="left"/>
            </w:pPr>
            <w:r>
              <w:t xml:space="preserve">APCREDIT</w:t>
            </w:r>
          </w:p>
        </w:tc>
        <w:tc>
          <w:tcPr/>
          <w:p>
            <w:pPr>
              <w:pStyle w:val="Compact"/>
              <w:jc w:val="right"/>
            </w:pPr>
            <w:r>
              <w:t xml:space="preserve">0</w:t>
            </w:r>
          </w:p>
        </w:tc>
        <w:tc>
          <w:tcPr/>
          <w:p>
            <w:pPr>
              <w:pStyle w:val="Compact"/>
              <w:jc w:val="right"/>
            </w:pPr>
            <w:r>
              <w:t xml:space="preserve">1</w:t>
            </w:r>
          </w:p>
        </w:tc>
        <w:tc>
          <w:tcPr/>
          <w:p>
            <w:pPr>
              <w:pStyle w:val="Compact"/>
              <w:jc w:val="right"/>
            </w:pPr>
            <w:r>
              <w:t xml:space="preserve">8.62</w:t>
            </w:r>
          </w:p>
        </w:tc>
        <w:tc>
          <w:tcPr/>
          <w:p>
            <w:pPr>
              <w:pStyle w:val="Compact"/>
              <w:jc w:val="right"/>
            </w:pPr>
            <w:r>
              <w:t xml:space="preserve">12.21</w:t>
            </w:r>
          </w:p>
        </w:tc>
        <w:tc>
          <w:tcPr/>
          <w:p>
            <w:pPr>
              <w:pStyle w:val="Compact"/>
              <w:jc w:val="right"/>
            </w:pPr>
            <w:r>
              <w:t xml:space="preserve">0.00</w:t>
            </w:r>
          </w:p>
        </w:tc>
        <w:tc>
          <w:tcPr/>
          <w:p>
            <w:pPr>
              <w:pStyle w:val="Compact"/>
              <w:jc w:val="right"/>
            </w:pPr>
            <w:r>
              <w:t xml:space="preserve">0.00</w:t>
            </w:r>
          </w:p>
        </w:tc>
        <w:tc>
          <w:tcPr/>
          <w:p>
            <w:pPr>
              <w:pStyle w:val="Compact"/>
              <w:jc w:val="right"/>
            </w:pPr>
            <w:r>
              <w:t xml:space="preserve">3.00</w:t>
            </w:r>
          </w:p>
        </w:tc>
        <w:tc>
          <w:tcPr/>
          <w:p>
            <w:pPr>
              <w:pStyle w:val="Compact"/>
              <w:jc w:val="right"/>
            </w:pPr>
            <w:r>
              <w:t xml:space="preserve">15.00</w:t>
            </w:r>
          </w:p>
        </w:tc>
        <w:tc>
          <w:tcPr/>
          <w:p>
            <w:pPr>
              <w:pStyle w:val="Compact"/>
              <w:jc w:val="right"/>
            </w:pPr>
            <w:r>
              <w:t xml:space="preserve">78.00</w:t>
            </w:r>
          </w:p>
        </w:tc>
        <w:tc>
          <w:tcPr/>
          <w:p>
            <w:pPr>
              <w:pStyle w:val="Compact"/>
              <w:jc w:val="left"/>
            </w:pPr>
            <w:r>
              <w:t xml:space="preserve">▇▂▁▁▁</w:t>
            </w:r>
          </w:p>
        </w:tc>
      </w:tr>
      <w:tr>
        <w:tc>
          <w:tcPr/>
          <w:p>
            <w:pPr>
              <w:pStyle w:val="Compact"/>
              <w:jc w:val="left"/>
            </w:pPr>
            <w:r>
              <w:t xml:space="preserve">HSGPA</w:t>
            </w:r>
          </w:p>
        </w:tc>
        <w:tc>
          <w:tcPr/>
          <w:p>
            <w:pPr>
              <w:pStyle w:val="Compact"/>
              <w:jc w:val="right"/>
            </w:pPr>
            <w:r>
              <w:t xml:space="preserve">0</w:t>
            </w:r>
          </w:p>
        </w:tc>
        <w:tc>
          <w:tcPr/>
          <w:p>
            <w:pPr>
              <w:pStyle w:val="Compact"/>
              <w:jc w:val="right"/>
            </w:pPr>
            <w:r>
              <w:t xml:space="preserve">1</w:t>
            </w:r>
          </w:p>
        </w:tc>
        <w:tc>
          <w:tcPr/>
          <w:p>
            <w:pPr>
              <w:pStyle w:val="Compact"/>
              <w:jc w:val="right"/>
            </w:pPr>
            <w:r>
              <w:t xml:space="preserve">3.74</w:t>
            </w:r>
          </w:p>
        </w:tc>
        <w:tc>
          <w:tcPr/>
          <w:p>
            <w:pPr>
              <w:pStyle w:val="Compact"/>
              <w:jc w:val="right"/>
            </w:pPr>
            <w:r>
              <w:t xml:space="preserve">0.27</w:t>
            </w:r>
          </w:p>
        </w:tc>
        <w:tc>
          <w:tcPr/>
          <w:p>
            <w:pPr>
              <w:pStyle w:val="Compact"/>
              <w:jc w:val="right"/>
            </w:pPr>
            <w:r>
              <w:t xml:space="preserve">2.57</w:t>
            </w:r>
          </w:p>
        </w:tc>
        <w:tc>
          <w:tcPr/>
          <w:p>
            <w:pPr>
              <w:pStyle w:val="Compact"/>
              <w:jc w:val="right"/>
            </w:pPr>
            <w:r>
              <w:t xml:space="preserve">3.60</w:t>
            </w:r>
          </w:p>
        </w:tc>
        <w:tc>
          <w:tcPr/>
          <w:p>
            <w:pPr>
              <w:pStyle w:val="Compact"/>
              <w:jc w:val="right"/>
            </w:pPr>
            <w:r>
              <w:t xml:space="preserve">3.83</w:t>
            </w:r>
          </w:p>
        </w:tc>
        <w:tc>
          <w:tcPr/>
          <w:p>
            <w:pPr>
              <w:pStyle w:val="Compact"/>
              <w:jc w:val="right"/>
            </w:pPr>
            <w:r>
              <w:t xml:space="preserve">3.97</w:t>
            </w:r>
          </w:p>
        </w:tc>
        <w:tc>
          <w:tcPr/>
          <w:p>
            <w:pPr>
              <w:pStyle w:val="Compact"/>
              <w:jc w:val="right"/>
            </w:pPr>
            <w:r>
              <w:t xml:space="preserve">4.00</w:t>
            </w:r>
          </w:p>
        </w:tc>
        <w:tc>
          <w:tcPr/>
          <w:p>
            <w:pPr>
              <w:pStyle w:val="Compact"/>
              <w:jc w:val="left"/>
            </w:pPr>
            <w:r>
              <w:t xml:space="preserve">▁▁▂▃▇</w:t>
            </w:r>
          </w:p>
        </w:tc>
      </w:tr>
      <w:tr>
        <w:tc>
          <w:tcPr/>
          <w:p>
            <w:pPr>
              <w:pStyle w:val="Compact"/>
              <w:jc w:val="left"/>
            </w:pPr>
            <w:r>
              <w:t xml:space="preserve">HONORS</w:t>
            </w:r>
          </w:p>
        </w:tc>
        <w:tc>
          <w:tcPr/>
          <w:p>
            <w:pPr>
              <w:pStyle w:val="Compact"/>
              <w:jc w:val="right"/>
            </w:pPr>
            <w:r>
              <w:t xml:space="preserve">0</w:t>
            </w:r>
          </w:p>
        </w:tc>
        <w:tc>
          <w:tcPr/>
          <w:p>
            <w:pPr>
              <w:pStyle w:val="Compact"/>
              <w:jc w:val="right"/>
            </w:pPr>
            <w:r>
              <w:t xml:space="preserve">1</w:t>
            </w:r>
          </w:p>
        </w:tc>
        <w:tc>
          <w:tcPr/>
          <w:p>
            <w:pPr>
              <w:pStyle w:val="Compact"/>
              <w:jc w:val="right"/>
            </w:pPr>
            <w:r>
              <w:t xml:space="preserve">0.14</w:t>
            </w:r>
          </w:p>
        </w:tc>
        <w:tc>
          <w:tcPr/>
          <w:p>
            <w:pPr>
              <w:pStyle w:val="Compact"/>
              <w:jc w:val="right"/>
            </w:pPr>
            <w:r>
              <w:t xml:space="preserve">0.35</w:t>
            </w:r>
          </w:p>
        </w:tc>
        <w:tc>
          <w:tcPr/>
          <w:p>
            <w:pPr>
              <w:pStyle w:val="Compact"/>
              <w:jc w:val="right"/>
            </w:pPr>
            <w:r>
              <w:t xml:space="preserve">0.00</w:t>
            </w:r>
          </w:p>
        </w:tc>
        <w:tc>
          <w:tcPr/>
          <w:p>
            <w:pPr>
              <w:pStyle w:val="Compact"/>
              <w:jc w:val="right"/>
            </w:pPr>
            <w:r>
              <w:t xml:space="preserve">0.00</w:t>
            </w:r>
          </w:p>
        </w:tc>
        <w:tc>
          <w:tcPr/>
          <w:p>
            <w:pPr>
              <w:pStyle w:val="Compact"/>
              <w:jc w:val="right"/>
            </w:pPr>
            <w:r>
              <w:t xml:space="preserve">0.00</w:t>
            </w:r>
          </w:p>
        </w:tc>
        <w:tc>
          <w:tcPr/>
          <w:p>
            <w:pPr>
              <w:pStyle w:val="Compact"/>
              <w:jc w:val="right"/>
            </w:pPr>
            <w:r>
              <w:t xml:space="preserve">0.00</w:t>
            </w:r>
          </w:p>
        </w:tc>
        <w:tc>
          <w:tcPr/>
          <w:p>
            <w:pPr>
              <w:pStyle w:val="Compact"/>
              <w:jc w:val="right"/>
            </w:pPr>
            <w:r>
              <w:t xml:space="preserve">1.00</w:t>
            </w:r>
          </w:p>
        </w:tc>
        <w:tc>
          <w:tcPr/>
          <w:p>
            <w:pPr>
              <w:pStyle w:val="Compact"/>
              <w:jc w:val="left"/>
            </w:pPr>
            <w:r>
              <w:t xml:space="preserve">▇▁▁▁▁</w:t>
            </w:r>
          </w:p>
        </w:tc>
      </w:tr>
      <w:tr>
        <w:tc>
          <w:tcPr/>
          <w:p>
            <w:pPr>
              <w:pStyle w:val="Compact"/>
              <w:jc w:val="left"/>
            </w:pPr>
            <w:r>
              <w:t xml:space="preserve">ACTCOMP</w:t>
            </w:r>
          </w:p>
        </w:tc>
        <w:tc>
          <w:tcPr/>
          <w:p>
            <w:pPr>
              <w:pStyle w:val="Compact"/>
              <w:jc w:val="right"/>
            </w:pPr>
            <w:r>
              <w:t xml:space="preserve">0</w:t>
            </w:r>
          </w:p>
        </w:tc>
        <w:tc>
          <w:tcPr/>
          <w:p>
            <w:pPr>
              <w:pStyle w:val="Compact"/>
              <w:jc w:val="right"/>
            </w:pPr>
            <w:r>
              <w:t xml:space="preserve">1</w:t>
            </w:r>
          </w:p>
        </w:tc>
        <w:tc>
          <w:tcPr/>
          <w:p>
            <w:pPr>
              <w:pStyle w:val="Compact"/>
              <w:jc w:val="right"/>
            </w:pPr>
            <w:r>
              <w:t xml:space="preserve">25.63</w:t>
            </w:r>
          </w:p>
        </w:tc>
        <w:tc>
          <w:tcPr/>
          <w:p>
            <w:pPr>
              <w:pStyle w:val="Compact"/>
              <w:jc w:val="right"/>
            </w:pPr>
            <w:r>
              <w:t xml:space="preserve">4.80</w:t>
            </w:r>
          </w:p>
        </w:tc>
        <w:tc>
          <w:tcPr/>
          <w:p>
            <w:pPr>
              <w:pStyle w:val="Compact"/>
              <w:jc w:val="right"/>
            </w:pPr>
            <w:r>
              <w:t xml:space="preserve">10.00</w:t>
            </w:r>
          </w:p>
        </w:tc>
        <w:tc>
          <w:tcPr/>
          <w:p>
            <w:pPr>
              <w:pStyle w:val="Compact"/>
              <w:jc w:val="right"/>
            </w:pPr>
            <w:r>
              <w:t xml:space="preserve">22.00</w:t>
            </w:r>
          </w:p>
        </w:tc>
        <w:tc>
          <w:tcPr/>
          <w:p>
            <w:pPr>
              <w:pStyle w:val="Compact"/>
              <w:jc w:val="right"/>
            </w:pPr>
            <w:r>
              <w:t xml:space="preserve">26.00</w:t>
            </w:r>
          </w:p>
        </w:tc>
        <w:tc>
          <w:tcPr/>
          <w:p>
            <w:pPr>
              <w:pStyle w:val="Compact"/>
              <w:jc w:val="right"/>
            </w:pPr>
            <w:r>
              <w:t xml:space="preserve">29.00</w:t>
            </w:r>
          </w:p>
        </w:tc>
        <w:tc>
          <w:tcPr/>
          <w:p>
            <w:pPr>
              <w:pStyle w:val="Compact"/>
              <w:jc w:val="right"/>
            </w:pPr>
            <w:r>
              <w:t xml:space="preserve">36.00</w:t>
            </w:r>
          </w:p>
        </w:tc>
        <w:tc>
          <w:tcPr/>
          <w:p>
            <w:pPr>
              <w:pStyle w:val="Compact"/>
              <w:jc w:val="left"/>
            </w:pPr>
            <w:r>
              <w:t xml:space="preserve">▁▃▇▇▅</w:t>
            </w:r>
          </w:p>
        </w:tc>
      </w:tr>
      <w:tr>
        <w:tc>
          <w:tcPr/>
          <w:p>
            <w:pPr>
              <w:pStyle w:val="Compact"/>
              <w:jc w:val="left"/>
            </w:pPr>
            <w:r>
              <w:t xml:space="preserve">ACTENGL</w:t>
            </w:r>
          </w:p>
        </w:tc>
        <w:tc>
          <w:tcPr/>
          <w:p>
            <w:pPr>
              <w:pStyle w:val="Compact"/>
              <w:jc w:val="right"/>
            </w:pPr>
            <w:r>
              <w:t xml:space="preserve">0</w:t>
            </w:r>
          </w:p>
        </w:tc>
        <w:tc>
          <w:tcPr/>
          <w:p>
            <w:pPr>
              <w:pStyle w:val="Compact"/>
              <w:jc w:val="right"/>
            </w:pPr>
            <w:r>
              <w:t xml:space="preserve">1</w:t>
            </w:r>
          </w:p>
        </w:tc>
        <w:tc>
          <w:tcPr/>
          <w:p>
            <w:pPr>
              <w:pStyle w:val="Compact"/>
              <w:jc w:val="right"/>
            </w:pPr>
            <w:r>
              <w:t xml:space="preserve">25.31</w:t>
            </w:r>
          </w:p>
        </w:tc>
        <w:tc>
          <w:tcPr/>
          <w:p>
            <w:pPr>
              <w:pStyle w:val="Compact"/>
              <w:jc w:val="right"/>
            </w:pPr>
            <w:r>
              <w:t xml:space="preserve">5.70</w:t>
            </w:r>
          </w:p>
        </w:tc>
        <w:tc>
          <w:tcPr/>
          <w:p>
            <w:pPr>
              <w:pStyle w:val="Compact"/>
              <w:jc w:val="right"/>
            </w:pPr>
            <w:r>
              <w:t xml:space="preserve">9.00</w:t>
            </w:r>
          </w:p>
        </w:tc>
        <w:tc>
          <w:tcPr/>
          <w:p>
            <w:pPr>
              <w:pStyle w:val="Compact"/>
              <w:jc w:val="right"/>
            </w:pPr>
            <w:r>
              <w:t xml:space="preserve">21.00</w:t>
            </w:r>
          </w:p>
        </w:tc>
        <w:tc>
          <w:tcPr/>
          <w:p>
            <w:pPr>
              <w:pStyle w:val="Compact"/>
              <w:jc w:val="right"/>
            </w:pPr>
            <w:r>
              <w:t xml:space="preserve">25.00</w:t>
            </w:r>
          </w:p>
        </w:tc>
        <w:tc>
          <w:tcPr/>
          <w:p>
            <w:pPr>
              <w:pStyle w:val="Compact"/>
              <w:jc w:val="right"/>
            </w:pPr>
            <w:r>
              <w:t xml:space="preserve">29.00</w:t>
            </w:r>
          </w:p>
        </w:tc>
        <w:tc>
          <w:tcPr/>
          <w:p>
            <w:pPr>
              <w:pStyle w:val="Compact"/>
              <w:jc w:val="right"/>
            </w:pPr>
            <w:r>
              <w:t xml:space="preserve">36.00</w:t>
            </w:r>
          </w:p>
        </w:tc>
        <w:tc>
          <w:tcPr/>
          <w:p>
            <w:pPr>
              <w:pStyle w:val="Compact"/>
              <w:jc w:val="left"/>
            </w:pPr>
            <w:r>
              <w:t xml:space="preserve">▁▂▇▅▅</w:t>
            </w:r>
          </w:p>
        </w:tc>
      </w:tr>
      <w:tr>
        <w:tc>
          <w:tcPr/>
          <w:p>
            <w:pPr>
              <w:pStyle w:val="Compact"/>
              <w:jc w:val="left"/>
            </w:pPr>
            <w:r>
              <w:t xml:space="preserve">ACTMATH</w:t>
            </w:r>
          </w:p>
        </w:tc>
        <w:tc>
          <w:tcPr/>
          <w:p>
            <w:pPr>
              <w:pStyle w:val="Compact"/>
              <w:jc w:val="right"/>
            </w:pPr>
            <w:r>
              <w:t xml:space="preserve">0</w:t>
            </w:r>
          </w:p>
        </w:tc>
        <w:tc>
          <w:tcPr/>
          <w:p>
            <w:pPr>
              <w:pStyle w:val="Compact"/>
              <w:jc w:val="right"/>
            </w:pPr>
            <w:r>
              <w:t xml:space="preserve">1</w:t>
            </w:r>
          </w:p>
        </w:tc>
        <w:tc>
          <w:tcPr/>
          <w:p>
            <w:pPr>
              <w:pStyle w:val="Compact"/>
              <w:jc w:val="right"/>
            </w:pPr>
            <w:r>
              <w:t xml:space="preserve">24.75</w:t>
            </w:r>
          </w:p>
        </w:tc>
        <w:tc>
          <w:tcPr/>
          <w:p>
            <w:pPr>
              <w:pStyle w:val="Compact"/>
              <w:jc w:val="right"/>
            </w:pPr>
            <w:r>
              <w:t xml:space="preserve">5.31</w:t>
            </w:r>
          </w:p>
        </w:tc>
        <w:tc>
          <w:tcPr/>
          <w:p>
            <w:pPr>
              <w:pStyle w:val="Compact"/>
              <w:jc w:val="right"/>
            </w:pPr>
            <w:r>
              <w:t xml:space="preserve">10.00</w:t>
            </w:r>
          </w:p>
        </w:tc>
        <w:tc>
          <w:tcPr/>
          <w:p>
            <w:pPr>
              <w:pStyle w:val="Compact"/>
              <w:jc w:val="right"/>
            </w:pPr>
            <w:r>
              <w:t xml:space="preserve">21.00</w:t>
            </w:r>
          </w:p>
        </w:tc>
        <w:tc>
          <w:tcPr/>
          <w:p>
            <w:pPr>
              <w:pStyle w:val="Compact"/>
              <w:jc w:val="right"/>
            </w:pPr>
            <w:r>
              <w:t xml:space="preserve">25.00</w:t>
            </w:r>
          </w:p>
        </w:tc>
        <w:tc>
          <w:tcPr/>
          <w:p>
            <w:pPr>
              <w:pStyle w:val="Compact"/>
              <w:jc w:val="right"/>
            </w:pPr>
            <w:r>
              <w:t xml:space="preserve">28.00</w:t>
            </w:r>
          </w:p>
        </w:tc>
        <w:tc>
          <w:tcPr/>
          <w:p>
            <w:pPr>
              <w:pStyle w:val="Compact"/>
              <w:jc w:val="right"/>
            </w:pPr>
            <w:r>
              <w:t xml:space="preserve">36.00</w:t>
            </w:r>
          </w:p>
        </w:tc>
        <w:tc>
          <w:tcPr/>
          <w:p>
            <w:pPr>
              <w:pStyle w:val="Compact"/>
              <w:jc w:val="left"/>
            </w:pPr>
            <w:r>
              <w:t xml:space="preserve">▁▅▇▇▃</w:t>
            </w:r>
          </w:p>
        </w:tc>
      </w:tr>
      <w:tr>
        <w:tc>
          <w:tcPr/>
          <w:p>
            <w:pPr>
              <w:pStyle w:val="Compact"/>
              <w:jc w:val="left"/>
            </w:pPr>
            <w:r>
              <w:t xml:space="preserve">ACTSCI</w:t>
            </w:r>
          </w:p>
        </w:tc>
        <w:tc>
          <w:tcPr/>
          <w:p>
            <w:pPr>
              <w:pStyle w:val="Compact"/>
              <w:jc w:val="right"/>
            </w:pPr>
            <w:r>
              <w:t xml:space="preserve">0</w:t>
            </w:r>
          </w:p>
        </w:tc>
        <w:tc>
          <w:tcPr/>
          <w:p>
            <w:pPr>
              <w:pStyle w:val="Compact"/>
              <w:jc w:val="right"/>
            </w:pPr>
            <w:r>
              <w:t xml:space="preserve">1</w:t>
            </w:r>
          </w:p>
        </w:tc>
        <w:tc>
          <w:tcPr/>
          <w:p>
            <w:pPr>
              <w:pStyle w:val="Compact"/>
              <w:jc w:val="right"/>
            </w:pPr>
            <w:r>
              <w:t xml:space="preserve">25.57</w:t>
            </w:r>
          </w:p>
        </w:tc>
        <w:tc>
          <w:tcPr/>
          <w:p>
            <w:pPr>
              <w:pStyle w:val="Compact"/>
              <w:jc w:val="right"/>
            </w:pPr>
            <w:r>
              <w:t xml:space="preserve">5.03</w:t>
            </w:r>
          </w:p>
        </w:tc>
        <w:tc>
          <w:tcPr/>
          <w:p>
            <w:pPr>
              <w:pStyle w:val="Compact"/>
              <w:jc w:val="right"/>
            </w:pPr>
            <w:r>
              <w:t xml:space="preserve">10.00</w:t>
            </w:r>
          </w:p>
        </w:tc>
        <w:tc>
          <w:tcPr/>
          <w:p>
            <w:pPr>
              <w:pStyle w:val="Compact"/>
              <w:jc w:val="right"/>
            </w:pPr>
            <w:r>
              <w:t xml:space="preserve">22.00</w:t>
            </w:r>
          </w:p>
        </w:tc>
        <w:tc>
          <w:tcPr/>
          <w:p>
            <w:pPr>
              <w:pStyle w:val="Compact"/>
              <w:jc w:val="right"/>
            </w:pPr>
            <w:r>
              <w:t xml:space="preserve">25.00</w:t>
            </w:r>
          </w:p>
        </w:tc>
        <w:tc>
          <w:tcPr/>
          <w:p>
            <w:pPr>
              <w:pStyle w:val="Compact"/>
              <w:jc w:val="right"/>
            </w:pPr>
            <w:r>
              <w:t xml:space="preserve">29.00</w:t>
            </w:r>
          </w:p>
        </w:tc>
        <w:tc>
          <w:tcPr/>
          <w:p>
            <w:pPr>
              <w:pStyle w:val="Compact"/>
              <w:jc w:val="right"/>
            </w:pPr>
            <w:r>
              <w:t xml:space="preserve">36.00</w:t>
            </w:r>
          </w:p>
        </w:tc>
        <w:tc>
          <w:tcPr/>
          <w:p>
            <w:pPr>
              <w:pStyle w:val="Compact"/>
              <w:jc w:val="left"/>
            </w:pPr>
            <w:r>
              <w:t xml:space="preserve">▁▂▇▅▃</w:t>
            </w:r>
          </w:p>
        </w:tc>
      </w:tr>
      <w:tr>
        <w:tc>
          <w:tcPr/>
          <w:p>
            <w:pPr>
              <w:pStyle w:val="Compact"/>
              <w:jc w:val="left"/>
            </w:pPr>
            <w:r>
              <w:t xml:space="preserve">cohort_year</w:t>
            </w:r>
          </w:p>
        </w:tc>
        <w:tc>
          <w:tcPr/>
          <w:p>
            <w:pPr>
              <w:pStyle w:val="Compact"/>
              <w:jc w:val="right"/>
            </w:pPr>
            <w:r>
              <w:t xml:space="preserve">0</w:t>
            </w:r>
          </w:p>
        </w:tc>
        <w:tc>
          <w:tcPr/>
          <w:p>
            <w:pPr>
              <w:pStyle w:val="Compact"/>
              <w:jc w:val="right"/>
            </w:pPr>
            <w:r>
              <w:t xml:space="preserve">1</w:t>
            </w:r>
          </w:p>
        </w:tc>
        <w:tc>
          <w:tcPr/>
          <w:p>
            <w:pPr>
              <w:pStyle w:val="Compact"/>
              <w:jc w:val="right"/>
            </w:pPr>
            <w:r>
              <w:t xml:space="preserve">2023.61</w:t>
            </w:r>
          </w:p>
        </w:tc>
        <w:tc>
          <w:tcPr/>
          <w:p>
            <w:pPr>
              <w:pStyle w:val="Compact"/>
              <w:jc w:val="right"/>
            </w:pPr>
            <w:r>
              <w:t xml:space="preserve">0.94</w:t>
            </w:r>
          </w:p>
        </w:tc>
        <w:tc>
          <w:tcPr/>
          <w:p>
            <w:pPr>
              <w:pStyle w:val="Compact"/>
              <w:jc w:val="right"/>
            </w:pPr>
            <w:r>
              <w:t xml:space="preserve">2010.00</w:t>
            </w:r>
          </w:p>
        </w:tc>
        <w:tc>
          <w:tcPr/>
          <w:p>
            <w:pPr>
              <w:pStyle w:val="Compact"/>
              <w:jc w:val="right"/>
            </w:pPr>
            <w:r>
              <w:t xml:space="preserve">2023.00</w:t>
            </w:r>
          </w:p>
        </w:tc>
        <w:tc>
          <w:tcPr/>
          <w:p>
            <w:pPr>
              <w:pStyle w:val="Compact"/>
              <w:jc w:val="right"/>
            </w:pPr>
            <w:r>
              <w:t xml:space="preserve">2024.00</w:t>
            </w:r>
          </w:p>
        </w:tc>
        <w:tc>
          <w:tcPr/>
          <w:p>
            <w:pPr>
              <w:pStyle w:val="Compact"/>
              <w:jc w:val="right"/>
            </w:pPr>
            <w:r>
              <w:t xml:space="preserve">2024.00</w:t>
            </w:r>
          </w:p>
        </w:tc>
        <w:tc>
          <w:tcPr/>
          <w:p>
            <w:pPr>
              <w:pStyle w:val="Compact"/>
              <w:jc w:val="right"/>
            </w:pPr>
            <w:r>
              <w:t xml:space="preserve">2024.00</w:t>
            </w:r>
          </w:p>
        </w:tc>
        <w:tc>
          <w:tcPr/>
          <w:p>
            <w:pPr>
              <w:pStyle w:val="Compact"/>
              <w:jc w:val="left"/>
            </w:pPr>
            <w:r>
              <w:t xml:space="preserve">▁▁▁▁▇</w:t>
            </w:r>
          </w:p>
        </w:tc>
      </w:tr>
      <w:tr>
        <w:tc>
          <w:tcPr/>
          <w:p>
            <w:pPr>
              <w:pStyle w:val="Compact"/>
              <w:jc w:val="left"/>
            </w:pPr>
            <w:r>
              <w:t xml:space="preserve">class_year</w:t>
            </w:r>
          </w:p>
        </w:tc>
        <w:tc>
          <w:tcPr/>
          <w:p>
            <w:pPr>
              <w:pStyle w:val="Compact"/>
              <w:jc w:val="right"/>
            </w:pPr>
            <w:r>
              <w:t xml:space="preserve">0</w:t>
            </w:r>
          </w:p>
        </w:tc>
        <w:tc>
          <w:tcPr/>
          <w:p>
            <w:pPr>
              <w:pStyle w:val="Compact"/>
              <w:jc w:val="right"/>
            </w:pPr>
            <w:r>
              <w:t xml:space="preserve">1</w:t>
            </w:r>
          </w:p>
        </w:tc>
        <w:tc>
          <w:tcPr/>
          <w:p>
            <w:pPr>
              <w:pStyle w:val="Compact"/>
              <w:jc w:val="right"/>
            </w:pPr>
            <w:r>
              <w:t xml:space="preserve">2024.00</w:t>
            </w:r>
          </w:p>
        </w:tc>
        <w:tc>
          <w:tcPr/>
          <w:p>
            <w:pPr>
              <w:pStyle w:val="Compact"/>
              <w:jc w:val="right"/>
            </w:pPr>
            <w:r>
              <w:t xml:space="preserve">0.00</w:t>
            </w:r>
          </w:p>
        </w:tc>
        <w:tc>
          <w:tcPr/>
          <w:p>
            <w:pPr>
              <w:pStyle w:val="Compact"/>
              <w:jc w:val="right"/>
            </w:pPr>
            <w:r>
              <w:t xml:space="preserve">2024.00</w:t>
            </w:r>
          </w:p>
        </w:tc>
        <w:tc>
          <w:tcPr/>
          <w:p>
            <w:pPr>
              <w:pStyle w:val="Compact"/>
              <w:jc w:val="right"/>
            </w:pPr>
            <w:r>
              <w:t xml:space="preserve">2024.00</w:t>
            </w:r>
          </w:p>
        </w:tc>
        <w:tc>
          <w:tcPr/>
          <w:p>
            <w:pPr>
              <w:pStyle w:val="Compact"/>
              <w:jc w:val="right"/>
            </w:pPr>
            <w:r>
              <w:t xml:space="preserve">2024.00</w:t>
            </w:r>
          </w:p>
        </w:tc>
        <w:tc>
          <w:tcPr/>
          <w:p>
            <w:pPr>
              <w:pStyle w:val="Compact"/>
              <w:jc w:val="right"/>
            </w:pPr>
            <w:r>
              <w:t xml:space="preserve">2024.00</w:t>
            </w:r>
          </w:p>
        </w:tc>
        <w:tc>
          <w:tcPr/>
          <w:p>
            <w:pPr>
              <w:pStyle w:val="Compact"/>
              <w:jc w:val="right"/>
            </w:pPr>
            <w:r>
              <w:t xml:space="preserve">2024.00</w:t>
            </w:r>
          </w:p>
        </w:tc>
        <w:tc>
          <w:tcPr/>
          <w:p>
            <w:pPr>
              <w:pStyle w:val="Compact"/>
              <w:jc w:val="left"/>
            </w:pPr>
            <w:r>
              <w:t xml:space="preserve">▁▁▇▁▁</w:t>
            </w:r>
          </w:p>
        </w:tc>
      </w:tr>
      <w:tr>
        <w:tc>
          <w:tcPr/>
          <w:p>
            <w:pPr>
              <w:pStyle w:val="Compact"/>
              <w:jc w:val="left"/>
            </w:pPr>
            <w:r>
              <w:t xml:space="preserve">yr_diff</w:t>
            </w:r>
          </w:p>
        </w:tc>
        <w:tc>
          <w:tcPr/>
          <w:p>
            <w:pPr>
              <w:pStyle w:val="Compact"/>
              <w:jc w:val="right"/>
            </w:pPr>
            <w:r>
              <w:t xml:space="preserve">0</w:t>
            </w:r>
          </w:p>
        </w:tc>
        <w:tc>
          <w:tcPr/>
          <w:p>
            <w:pPr>
              <w:pStyle w:val="Compact"/>
              <w:jc w:val="right"/>
            </w:pPr>
            <w:r>
              <w:t xml:space="preserve">1</w:t>
            </w:r>
          </w:p>
        </w:tc>
        <w:tc>
          <w:tcPr/>
          <w:p>
            <w:pPr>
              <w:pStyle w:val="Compact"/>
              <w:jc w:val="right"/>
            </w:pPr>
            <w:r>
              <w:t xml:space="preserve">0.53</w:t>
            </w:r>
          </w:p>
        </w:tc>
        <w:tc>
          <w:tcPr/>
          <w:p>
            <w:pPr>
              <w:pStyle w:val="Compact"/>
              <w:jc w:val="right"/>
            </w:pPr>
            <w:r>
              <w:t xml:space="preserve">0.83</w:t>
            </w:r>
          </w:p>
        </w:tc>
        <w:tc>
          <w:tcPr/>
          <w:p>
            <w:pPr>
              <w:pStyle w:val="Compact"/>
              <w:jc w:val="right"/>
            </w:pPr>
            <w:r>
              <w:t xml:space="preserve">-0.36</w:t>
            </w:r>
          </w:p>
        </w:tc>
        <w:tc>
          <w:tcPr/>
          <w:p>
            <w:pPr>
              <w:pStyle w:val="Compact"/>
              <w:jc w:val="right"/>
            </w:pPr>
            <w:r>
              <w:t xml:space="preserve">0.26</w:t>
            </w:r>
          </w:p>
        </w:tc>
        <w:tc>
          <w:tcPr/>
          <w:p>
            <w:pPr>
              <w:pStyle w:val="Compact"/>
              <w:jc w:val="right"/>
            </w:pPr>
            <w:r>
              <w:t xml:space="preserve">0.26</w:t>
            </w:r>
          </w:p>
        </w:tc>
        <w:tc>
          <w:tcPr/>
          <w:p>
            <w:pPr>
              <w:pStyle w:val="Compact"/>
              <w:jc w:val="right"/>
            </w:pPr>
            <w:r>
              <w:t xml:space="preserve">0.64</w:t>
            </w:r>
          </w:p>
        </w:tc>
        <w:tc>
          <w:tcPr/>
          <w:p>
            <w:pPr>
              <w:pStyle w:val="Compact"/>
              <w:jc w:val="right"/>
            </w:pPr>
            <w:r>
              <w:t xml:space="preserve">14.25</w:t>
            </w:r>
          </w:p>
        </w:tc>
        <w:tc>
          <w:tcPr/>
          <w:p>
            <w:pPr>
              <w:pStyle w:val="Compact"/>
              <w:jc w:val="left"/>
            </w:pPr>
            <w:r>
              <w:t xml:space="preserve">▇▁▁▁▁</w:t>
            </w:r>
          </w:p>
        </w:tc>
      </w:tr>
      <w:tr>
        <w:tc>
          <w:tcPr/>
          <w:p>
            <w:pPr>
              <w:pStyle w:val="Compact"/>
              <w:jc w:val="left"/>
            </w:pPr>
            <w:r>
              <w:t xml:space="preserve">course_level</w:t>
            </w:r>
          </w:p>
        </w:tc>
        <w:tc>
          <w:tcPr/>
          <w:p>
            <w:pPr>
              <w:pStyle w:val="Compact"/>
              <w:jc w:val="right"/>
            </w:pPr>
            <w:r>
              <w:t xml:space="preserve">0</w:t>
            </w:r>
          </w:p>
        </w:tc>
        <w:tc>
          <w:tcPr/>
          <w:p>
            <w:pPr>
              <w:pStyle w:val="Compact"/>
              <w:jc w:val="right"/>
            </w:pPr>
            <w:r>
              <w:t xml:space="preserve">1</w:t>
            </w:r>
          </w:p>
        </w:tc>
        <w:tc>
          <w:tcPr/>
          <w:p>
            <w:pPr>
              <w:pStyle w:val="Compact"/>
              <w:jc w:val="right"/>
            </w:pPr>
            <w:r>
              <w:t xml:space="preserve">1.07</w:t>
            </w:r>
          </w:p>
        </w:tc>
        <w:tc>
          <w:tcPr/>
          <w:p>
            <w:pPr>
              <w:pStyle w:val="Compact"/>
              <w:jc w:val="right"/>
            </w:pPr>
            <w:r>
              <w:t xml:space="preserve">0.26</w:t>
            </w:r>
          </w:p>
        </w:tc>
        <w:tc>
          <w:tcPr/>
          <w:p>
            <w:pPr>
              <w:pStyle w:val="Compact"/>
              <w:jc w:val="right"/>
            </w:pPr>
            <w:r>
              <w:t xml:space="preserve">1.00</w:t>
            </w:r>
          </w:p>
        </w:tc>
        <w:tc>
          <w:tcPr/>
          <w:p>
            <w:pPr>
              <w:pStyle w:val="Compact"/>
              <w:jc w:val="right"/>
            </w:pPr>
            <w:r>
              <w:t xml:space="preserve">1.00</w:t>
            </w:r>
          </w:p>
        </w:tc>
        <w:tc>
          <w:tcPr/>
          <w:p>
            <w:pPr>
              <w:pStyle w:val="Compact"/>
              <w:jc w:val="right"/>
            </w:pPr>
            <w:r>
              <w:t xml:space="preserve">1.00</w:t>
            </w:r>
          </w:p>
        </w:tc>
        <w:tc>
          <w:tcPr/>
          <w:p>
            <w:pPr>
              <w:pStyle w:val="Compact"/>
              <w:jc w:val="right"/>
            </w:pPr>
            <w:r>
              <w:t xml:space="preserve">1.00</w:t>
            </w:r>
          </w:p>
        </w:tc>
        <w:tc>
          <w:tcPr/>
          <w:p>
            <w:pPr>
              <w:pStyle w:val="Compact"/>
              <w:jc w:val="right"/>
            </w:pPr>
            <w:r>
              <w:t xml:space="preserve">2.00</w:t>
            </w:r>
          </w:p>
        </w:tc>
        <w:tc>
          <w:tcPr/>
          <w:p>
            <w:pPr>
              <w:pStyle w:val="Compact"/>
              <w:jc w:val="left"/>
            </w:pPr>
            <w:r>
              <w:t xml:space="preserve">▇▁▁▁▁</w:t>
            </w:r>
          </w:p>
        </w:tc>
      </w:tr>
      <w:tr>
        <w:tc>
          <w:tcPr/>
          <w:p>
            <w:pPr>
              <w:pStyle w:val="Compact"/>
              <w:jc w:val="left"/>
            </w:pPr>
            <w:r>
              <w:t xml:space="preserve">HSGPA.z</w:t>
            </w:r>
          </w:p>
        </w:tc>
        <w:tc>
          <w:tcPr/>
          <w:p>
            <w:pPr>
              <w:pStyle w:val="Compact"/>
              <w:jc w:val="right"/>
            </w:pPr>
            <w:r>
              <w:t xml:space="preserve">0</w:t>
            </w:r>
          </w:p>
        </w:tc>
        <w:tc>
          <w:tcPr/>
          <w:p>
            <w:pPr>
              <w:pStyle w:val="Compact"/>
              <w:jc w:val="right"/>
            </w:pPr>
            <w:r>
              <w:t xml:space="preserve">1</w:t>
            </w:r>
          </w:p>
        </w:tc>
        <w:tc>
          <w:tcPr/>
          <w:p>
            <w:pPr>
              <w:pStyle w:val="Compact"/>
              <w:jc w:val="right"/>
            </w:pPr>
            <w:r>
              <w:t xml:space="preserve">-0.73</w:t>
            </w:r>
          </w:p>
        </w:tc>
        <w:tc>
          <w:tcPr/>
          <w:p>
            <w:pPr>
              <w:pStyle w:val="Compact"/>
              <w:jc w:val="right"/>
            </w:pPr>
            <w:r>
              <w:t xml:space="preserve">1.69</w:t>
            </w:r>
          </w:p>
        </w:tc>
        <w:tc>
          <w:tcPr/>
          <w:p>
            <w:pPr>
              <w:pStyle w:val="Compact"/>
              <w:jc w:val="right"/>
            </w:pPr>
            <w:r>
              <w:t xml:space="preserve">-34.83</w:t>
            </w:r>
          </w:p>
        </w:tc>
        <w:tc>
          <w:tcPr/>
          <w:p>
            <w:pPr>
              <w:pStyle w:val="Compact"/>
              <w:jc w:val="right"/>
            </w:pPr>
            <w:r>
              <w:t xml:space="preserve">-1.30</w:t>
            </w:r>
          </w:p>
        </w:tc>
        <w:tc>
          <w:tcPr/>
          <w:p>
            <w:pPr>
              <w:pStyle w:val="Compact"/>
              <w:jc w:val="right"/>
            </w:pPr>
            <w:r>
              <w:t xml:space="preserve">-0.26</w:t>
            </w:r>
          </w:p>
        </w:tc>
        <w:tc>
          <w:tcPr/>
          <w:p>
            <w:pPr>
              <w:pStyle w:val="Compact"/>
              <w:jc w:val="right"/>
            </w:pPr>
            <w:r>
              <w:t xml:space="preserve">0.24</w:t>
            </w:r>
          </w:p>
        </w:tc>
        <w:tc>
          <w:tcPr/>
          <w:p>
            <w:pPr>
              <w:pStyle w:val="Compact"/>
              <w:jc w:val="right"/>
            </w:pPr>
            <w:r>
              <w:t xml:space="preserve">1.26</w:t>
            </w:r>
          </w:p>
        </w:tc>
        <w:tc>
          <w:tcPr/>
          <w:p>
            <w:pPr>
              <w:pStyle w:val="Compact"/>
              <w:jc w:val="left"/>
            </w:pPr>
            <w:r>
              <w:t xml:space="preserve">▁▁▁▁▇</w:t>
            </w:r>
          </w:p>
        </w:tc>
      </w:tr>
      <w:tr>
        <w:tc>
          <w:tcPr/>
          <w:p>
            <w:pPr>
              <w:pStyle w:val="Compact"/>
              <w:jc w:val="left"/>
            </w:pPr>
            <w:r>
              <w:t xml:space="preserve">ACTMATH.z</w:t>
            </w:r>
          </w:p>
        </w:tc>
        <w:tc>
          <w:tcPr/>
          <w:p>
            <w:pPr>
              <w:pStyle w:val="Compact"/>
              <w:jc w:val="right"/>
            </w:pPr>
            <w:r>
              <w:t xml:space="preserve">0</w:t>
            </w:r>
          </w:p>
        </w:tc>
        <w:tc>
          <w:tcPr/>
          <w:p>
            <w:pPr>
              <w:pStyle w:val="Compact"/>
              <w:jc w:val="right"/>
            </w:pPr>
            <w:r>
              <w:t xml:space="preserve">1</w:t>
            </w:r>
          </w:p>
        </w:tc>
        <w:tc>
          <w:tcPr/>
          <w:p>
            <w:pPr>
              <w:pStyle w:val="Compact"/>
              <w:jc w:val="right"/>
            </w:pPr>
            <w:r>
              <w:t xml:space="preserve">-0.20</w:t>
            </w:r>
          </w:p>
        </w:tc>
        <w:tc>
          <w:tcPr/>
          <w:p>
            <w:pPr>
              <w:pStyle w:val="Compact"/>
              <w:jc w:val="right"/>
            </w:pPr>
            <w:r>
              <w:t xml:space="preserve">1.15</w:t>
            </w:r>
          </w:p>
        </w:tc>
        <w:tc>
          <w:tcPr/>
          <w:p>
            <w:pPr>
              <w:pStyle w:val="Compact"/>
              <w:jc w:val="right"/>
            </w:pPr>
            <w:r>
              <w:t xml:space="preserve">-5.54</w:t>
            </w:r>
          </w:p>
        </w:tc>
        <w:tc>
          <w:tcPr/>
          <w:p>
            <w:pPr>
              <w:pStyle w:val="Compact"/>
              <w:jc w:val="right"/>
            </w:pPr>
            <w:r>
              <w:t xml:space="preserve">-1.00</w:t>
            </w:r>
          </w:p>
        </w:tc>
        <w:tc>
          <w:tcPr/>
          <w:p>
            <w:pPr>
              <w:pStyle w:val="Compact"/>
              <w:jc w:val="right"/>
            </w:pPr>
            <w:r>
              <w:t xml:space="preserve">0.00</w:t>
            </w:r>
          </w:p>
        </w:tc>
        <w:tc>
          <w:tcPr/>
          <w:p>
            <w:pPr>
              <w:pStyle w:val="Compact"/>
              <w:jc w:val="right"/>
            </w:pPr>
            <w:r>
              <w:t xml:space="preserve">0.57</w:t>
            </w:r>
          </w:p>
        </w:tc>
        <w:tc>
          <w:tcPr/>
          <w:p>
            <w:pPr>
              <w:pStyle w:val="Compact"/>
              <w:jc w:val="right"/>
            </w:pPr>
            <w:r>
              <w:t xml:space="preserve">3.62</w:t>
            </w:r>
          </w:p>
        </w:tc>
        <w:tc>
          <w:tcPr/>
          <w:p>
            <w:pPr>
              <w:pStyle w:val="Compact"/>
              <w:jc w:val="left"/>
            </w:pPr>
            <w:r>
              <w:t xml:space="preserve">▁▂▇▇▁</w:t>
            </w:r>
          </w:p>
        </w:tc>
      </w:tr>
      <w:tr>
        <w:tc>
          <w:tcPr/>
          <w:p>
            <w:pPr>
              <w:pStyle w:val="Compact"/>
              <w:jc w:val="left"/>
            </w:pPr>
            <w:r>
              <w:t xml:space="preserve">dist</w:t>
            </w:r>
          </w:p>
        </w:tc>
        <w:tc>
          <w:tcPr/>
          <w:p>
            <w:pPr>
              <w:pStyle w:val="Compact"/>
              <w:jc w:val="right"/>
            </w:pPr>
            <w:r>
              <w:t xml:space="preserve">0</w:t>
            </w:r>
          </w:p>
        </w:tc>
        <w:tc>
          <w:tcPr/>
          <w:p>
            <w:pPr>
              <w:pStyle w:val="Compact"/>
              <w:jc w:val="right"/>
            </w:pPr>
            <w:r>
              <w:t xml:space="preserve">1</w:t>
            </w:r>
          </w:p>
        </w:tc>
        <w:tc>
          <w:tcPr/>
          <w:p>
            <w:pPr>
              <w:pStyle w:val="Compact"/>
              <w:jc w:val="right"/>
            </w:pPr>
            <w:r>
              <w:t xml:space="preserve">1.58</w:t>
            </w:r>
          </w:p>
        </w:tc>
        <w:tc>
          <w:tcPr/>
          <w:p>
            <w:pPr>
              <w:pStyle w:val="Compact"/>
              <w:jc w:val="right"/>
            </w:pPr>
            <w:r>
              <w:t xml:space="preserve">1.50</w:t>
            </w:r>
          </w:p>
        </w:tc>
        <w:tc>
          <w:tcPr/>
          <w:p>
            <w:pPr>
              <w:pStyle w:val="Compact"/>
              <w:jc w:val="right"/>
            </w:pPr>
            <w:r>
              <w:t xml:space="preserve">0.01</w:t>
            </w:r>
          </w:p>
        </w:tc>
        <w:tc>
          <w:tcPr/>
          <w:p>
            <w:pPr>
              <w:pStyle w:val="Compact"/>
              <w:jc w:val="right"/>
            </w:pPr>
            <w:r>
              <w:t xml:space="preserve">0.74</w:t>
            </w:r>
          </w:p>
        </w:tc>
        <w:tc>
          <w:tcPr/>
          <w:p>
            <w:pPr>
              <w:pStyle w:val="Compact"/>
              <w:jc w:val="right"/>
            </w:pPr>
            <w:r>
              <w:t xml:space="preserve">1.29</w:t>
            </w:r>
          </w:p>
        </w:tc>
        <w:tc>
          <w:tcPr/>
          <w:p>
            <w:pPr>
              <w:pStyle w:val="Compact"/>
              <w:jc w:val="right"/>
            </w:pPr>
            <w:r>
              <w:t xml:space="preserve">2.05</w:t>
            </w:r>
          </w:p>
        </w:tc>
        <w:tc>
          <w:tcPr/>
          <w:p>
            <w:pPr>
              <w:pStyle w:val="Compact"/>
              <w:jc w:val="right"/>
            </w:pPr>
            <w:r>
              <w:t xml:space="preserve">34.84</w:t>
            </w:r>
          </w:p>
        </w:tc>
        <w:tc>
          <w:tcPr/>
          <w:p>
            <w:pPr>
              <w:pStyle w:val="Compact"/>
              <w:jc w:val="left"/>
            </w:pPr>
            <w:r>
              <w:t xml:space="preserve">▇▁▁▁▁</w:t>
            </w:r>
          </w:p>
        </w:tc>
      </w:tr>
    </w:tbl>
    <w:bookmarkEnd w:id="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1" Target="media/rId31.png" /><Relationship Type="http://schemas.openxmlformats.org/officeDocument/2006/relationships/image" Id="rId34" Target="media/rId34.png" /><Relationship Type="http://schemas.openxmlformats.org/officeDocument/2006/relationships/image" Id="rId25" Target="media/rId25.png" /><Relationship Type="http://schemas.openxmlformats.org/officeDocument/2006/relationships/image" Id="rId28" Target="media/rId28.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Evaluate Grade Decision Trees Over Time vQ0</dc:title>
  <dc:creator>Bill Prisbrey</dc:creator>
  <cp:keywords/>
  <dcterms:created xsi:type="dcterms:W3CDTF">2026-02-25T23:35:17Z</dcterms:created>
  <dcterms:modified xsi:type="dcterms:W3CDTF">2026-02-25T23:35:17Z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February 25, 2026</vt:lpwstr>
  </property>
  <property fmtid="{D5CDD505-2E9C-101B-9397-08002B2CF9AE}" pid="3" name="output">
    <vt:lpwstr/>
  </property>
  <property fmtid="{D5CDD505-2E9C-101B-9397-08002B2CF9AE}" pid="4" name="params">
    <vt:lpwstr/>
  </property>
</Properties>
</file>