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9.png" ContentType="image/png"/>
  <Override PartName="/word/media/rId85.png" ContentType="image/png"/>
  <Override PartName="/word/media/rId47.png" ContentType="image/png"/>
  <Override PartName="/word/media/rId35.png" ContentType="image/png"/>
  <Override PartName="/word/media/rId81.png" ContentType="image/png"/>
  <Override PartName="/word/media/rId60.png" ContentType="image/png"/>
  <Override PartName="/word/media/rId73.png" ContentType="image/png"/>
  <Override PartName="/word/media/rId77.png" ContentType="image/png"/>
  <Override PartName="/word/media/rId99.png" ContentType="image/png"/>
  <Override PartName="/word/media/rId39.png" ContentType="image/png"/>
  <Override PartName="/word/media/rId65.png" ContentType="image/png"/>
  <Override PartName="/word/media/rId69.png" ContentType="image/png"/>
  <Override PartName="/word/media/rId26.png" ContentType="image/png"/>
  <Override PartName="/word/media/rId52.png" ContentType="image/png"/>
  <Override PartName="/word/media/rId56.png" ContentType="image/png"/>
  <Override PartName="/word/media/rId31.png" ContentType="image/png"/>
  <Override PartName="/word/media/rId43.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Deeper Dive into vH4 (quarto)</w:t>
      </w:r>
    </w:p>
    <w:bookmarkStart w:id="20" w:name="methodlogy"/>
    <w:p>
      <w:pPr>
        <w:pStyle w:val="Heading1"/>
      </w:pPr>
      <w:r>
        <w:t xml:space="preserve">METHODLOGY</w:t>
      </w:r>
    </w:p>
    <w:p>
      <w:pPr>
        <w:pStyle w:val="FirstParagraph"/>
      </w:pPr>
      <w:r>
        <w:t xml:space="preserve">Data was prepared as described in the separate report,</w:t>
      </w:r>
      <w:r>
        <w:t xml:space="preserve"> </w:t>
      </w:r>
      <w:r>
        <w:t xml:space="preserve">“Source Data, Cleaning, and Preparation.”</w:t>
      </w:r>
      <w:r>
        <w:t xml:space="preserve"> </w:t>
      </w:r>
      <w:r>
        <w:t xml:space="preserve">This model trained on the years 2006 to 2023 and tested on data from the year 2024.</w:t>
      </w:r>
    </w:p>
    <w:p>
      <w:pPr>
        <w:pStyle w:val="BodyText"/>
      </w:pPr>
      <w:r>
        <w:t xml:space="preserve">A predictive model was trained with the package</w:t>
      </w:r>
      <w:r>
        <w:t xml:space="preserve"> </w:t>
      </w:r>
      <w:r>
        <w:t xml:space="preserve">“xgboost.”</w:t>
      </w:r>
    </w:p>
    <w:p>
      <w:pPr>
        <w:pStyle w:val="BodyText"/>
      </w:pPr>
      <w:r>
        <w:t xml:space="preserve">A value for math grade was predicted, and evaluated with the root mean square error, mean absolute error, and r-squared values.</w:t>
      </w:r>
    </w:p>
    <w:p>
      <w:pPr>
        <w:pStyle w:val="BodyText"/>
      </w:pPr>
      <w:r>
        <w:t xml:space="preserve">These values were also combined into a binary categorization (</w:t>
      </w:r>
      <w:r>
        <w:t xml:space="preserve">“high”</w:t>
      </w:r>
      <w:r>
        <w:t xml:space="preserve">/</w:t>
      </w:r>
      <w:r>
        <w:t xml:space="preserve">“low”</w:t>
      </w:r>
      <w:r>
        <w:t xml:space="preserve"> </w:t>
      </w:r>
      <w:r>
        <w:t xml:space="preserve">or</w:t>
      </w:r>
      <w:r>
        <w:t xml:space="preserve"> </w:t>
      </w:r>
      <w:r>
        <w:t xml:space="preserve">“success”</w:t>
      </w:r>
      <w:r>
        <w:t xml:space="preserve">/</w:t>
      </w:r>
      <w:r>
        <w:t xml:space="preserve">“fail”</w:t>
      </w:r>
      <w:r>
        <w:t xml:space="preserve"> </w:t>
      </w:r>
      <w:r>
        <w:t xml:space="preserve">or</w:t>
      </w:r>
      <w:r>
        <w:t xml:space="preserve"> </w:t>
      </w:r>
      <w:r>
        <w:t xml:space="preserve">“on track”</w:t>
      </w:r>
      <w:r>
        <w:t xml:space="preserve">/</w:t>
      </w:r>
      <w:r>
        <w:t xml:space="preserve">“at risk”</w:t>
      </w:r>
      <w:r>
        <w:t xml:space="preserve">) using various thresholds or cut-offs. An optimum threshold or cut-off was discovered with the highest Kappa value.</w:t>
      </w:r>
    </w:p>
    <w:bookmarkEnd w:id="20"/>
    <w:bookmarkStart w:id="23" w:name="discussion"/>
    <w:p>
      <w:pPr>
        <w:pStyle w:val="Heading1"/>
      </w:pPr>
      <w:r>
        <w:t xml:space="preserve">DISCUSSION</w:t>
      </w:r>
    </w:p>
    <w:p>
      <w:pPr>
        <w:pStyle w:val="FirstParagraph"/>
      </w:pPr>
      <w:r>
        <w:t xml:space="preserve">The model attempts to take information available at the time of admittance, skip over course selection as a black box process, ignore concurrent data such as class details (time of morning or capacity), and predict grade performance for first-time freshmen at the end of their initial math course. This comparison of the model with the timeline of the actual student experience is shown in</w:t>
      </w:r>
      <w:r>
        <w:t xml:space="preserve"> </w:t>
      </w:r>
      <w:hyperlink w:anchor="fig-pipeline">
        <w:r>
          <w:rPr>
            <w:rStyle w:val="Hyperlink"/>
          </w:rPr>
          <w:t xml:space="preserve">Figure 1</w:t>
        </w:r>
      </w:hyperlink>
      <w:r>
        <w:t xml:space="preserve">.</w:t>
      </w:r>
    </w:p>
    <w:p>
      <w:pPr>
        <w:pStyle w:val="BodyText"/>
      </w:pPr>
      <w:r>
        <w:t xml:space="preserve">With this minimalist data set, the model could predict grades in initial math courses for first-time freshmen with an R-squared value of 0.28, root mean square error of 1.01, and mean absolute error of 0.8.</w:t>
      </w:r>
    </w:p>
    <w:p>
      <w:pPr>
        <w:pStyle w:val="BodyText"/>
      </w:pPr>
      <w:r>
        <w:t xml:space="preserve">The variables most important to the model were the high school GPA, the ACT math test scores, and their derivative z-scores and combined z-score distance to the qualifications of the prior year’s median successful student.</w:t>
      </w:r>
    </w:p>
    <w:p>
      <w:pPr>
        <w:pStyle w:val="BodyText"/>
      </w:pPr>
      <w:r>
        <w:t xml:space="preserve">This aligns with a theory of performance</w:t>
      </w:r>
      <w:r>
        <w:rPr>
          <w:rStyle w:val="FootnoteReference"/>
        </w:rPr>
        <w:footnoteReference w:id="21"/>
      </w:r>
      <w:r>
        <w:t xml:space="preserve"> </w:t>
      </w:r>
      <w:r>
        <w:t xml:space="preserve">(</w:t>
      </w:r>
      <w:hyperlink w:anchor="fig-performance">
        <w:r>
          <w:rPr>
            <w:rStyle w:val="Hyperlink"/>
          </w:rPr>
          <w:t xml:space="preserve">Figure 11</w:t>
        </w:r>
      </w:hyperlink>
      <w:r>
        <w:t xml:space="preserve">) where a student’s math ability (as measured by the ACT math test scores) and a student’s</w:t>
      </w:r>
      <w:r>
        <w:t xml:space="preserve"> </w:t>
      </w:r>
      <w:r>
        <w:t xml:space="preserve">‘study ability’</w:t>
      </w:r>
      <w:r>
        <w:t xml:space="preserve"> </w:t>
      </w:r>
      <w:r>
        <w:t xml:space="preserve">(as measured by their high school GPA) are strong predictors of performance. However, the model is not completely determinative – the pre-University data doesn’t define the grade received – leaving room for individual motivation, effort, and the influence of the concurrent situation (such as the number of credits taken that semester). No student is guaranteed an</w:t>
      </w:r>
      <w:r>
        <w:t xml:space="preserve"> </w:t>
      </w:r>
      <w:r>
        <w:t xml:space="preserve">‘A’</w:t>
      </w:r>
      <w:r>
        <w:t xml:space="preserve">, as many students who are predicted to score well do poorly (and vice versa.)</w:t>
      </w:r>
    </w:p>
    <w:p>
      <w:pPr>
        <w:pStyle w:val="BodyText"/>
      </w:pPr>
      <w:r>
        <w:t xml:space="preserve">Given the sparsity of the data, the model tended to predict in the middle of the range, putting 47% of the students between a grade of 2.7 and 3.7, while some 39% of students in 2024 actually received an</w:t>
      </w:r>
      <w:r>
        <w:t xml:space="preserve"> </w:t>
      </w:r>
      <w:r>
        <w:t xml:space="preserve">‘A’</w:t>
      </w:r>
      <w:r>
        <w:t xml:space="preserve">. Several comparisons of the predicted and actual grades are presented as scatter plots or box plots (</w:t>
      </w:r>
      <w:hyperlink w:anchor="fig-results_scatter_box">
        <w:r>
          <w:rPr>
            <w:rStyle w:val="Hyperlink"/>
          </w:rPr>
          <w:t xml:space="preserve">Figure 2</w:t>
        </w:r>
      </w:hyperlink>
      <w:r>
        <w:t xml:space="preserve">), density plots (</w:t>
      </w:r>
      <w:hyperlink w:anchor="fig-density">
        <w:r>
          <w:rPr>
            <w:rStyle w:val="Hyperlink"/>
          </w:rPr>
          <w:t xml:space="preserve">Figure 3</w:t>
        </w:r>
      </w:hyperlink>
      <w:r>
        <w:t xml:space="preserve">), heat maps (</w:t>
      </w:r>
      <w:hyperlink w:anchor="fig-heatmap">
        <w:r>
          <w:rPr>
            <w:rStyle w:val="Hyperlink"/>
          </w:rPr>
          <w:t xml:space="preserve">Figure 4</w:t>
        </w:r>
      </w:hyperlink>
      <w:r>
        <w:t xml:space="preserve">), confusion matrices (</w:t>
      </w:r>
      <w:hyperlink w:anchor="fig-binary_cm">
        <w:r>
          <w:rPr>
            <w:rStyle w:val="Hyperlink"/>
          </w:rPr>
          <w:t xml:space="preserve">Figure 6</w:t>
        </w:r>
      </w:hyperlink>
      <w:r>
        <w:t xml:space="preserve">,</w:t>
      </w:r>
      <w:r>
        <w:t xml:space="preserve"> </w:t>
      </w:r>
      <w:hyperlink w:anchor="fig-fail_cm">
        <w:r>
          <w:rPr>
            <w:rStyle w:val="Hyperlink"/>
          </w:rPr>
          <w:t xml:space="preserve">Figure 9</w:t>
        </w:r>
      </w:hyperlink>
      <w:r>
        <w:t xml:space="preserve">), and histograms (</w:t>
      </w:r>
      <w:hyperlink w:anchor="fig-pred_hist_actual">
        <w:r>
          <w:rPr>
            <w:rStyle w:val="Hyperlink"/>
          </w:rPr>
          <w:t xml:space="preserve">Figure 7</w:t>
        </w:r>
      </w:hyperlink>
      <w:r>
        <w:t xml:space="preserve">,</w:t>
      </w:r>
      <w:r>
        <w:t xml:space="preserve"> </w:t>
      </w:r>
      <w:hyperlink w:anchor="fig-pred_hist_predict">
        <w:r>
          <w:rPr>
            <w:rStyle w:val="Hyperlink"/>
          </w:rPr>
          <w:t xml:space="preserve">Figure 8</w:t>
        </w:r>
      </w:hyperlink>
      <w:r>
        <w:t xml:space="preserve">).</w:t>
      </w:r>
    </w:p>
    <w:p>
      <w:pPr>
        <w:pStyle w:val="BodyText"/>
      </w:pPr>
      <w:r>
        <w:t xml:space="preserve">An optimum binary threshold was found at a predicted grade of 2.4, with a Kappa value of 0.41. Students predicted to have a grade less than 2.4 are a high-risk group of students. 29% of these 507 students actually did fail, or 76% of the total of students who failed. (76% recall and 29% precision).</w:t>
      </w:r>
    </w:p>
    <w:p>
      <w:pPr>
        <w:pStyle w:val="BodyText"/>
      </w:pPr>
      <w:r>
        <w:t xml:space="preserve">This compares to the risk of students predicted to have a grade more than 2.4. Only 47 of these 1195 students failed, or 4%.</w:t>
      </w:r>
    </w:p>
    <w:p>
      <w:pPr>
        <w:pStyle w:val="BodyText"/>
      </w:pPr>
      <w:r>
        <w:t xml:space="preserve">Only a handful of students were precisely predicted fail their initial math course – eight students were predicted to receive a grade less than 0.9, and six of these students actually received a grade less than 0.9. These students might be considered admissions mistakes, as they predictably failed. However, out of 1,759 students, this doesn’t seem to indicate a large problem with admissions standards.</w:t>
      </w:r>
    </w:p>
    <w:bookmarkEnd w:id="23"/>
    <w:bookmarkStart w:id="24" w:name="conclusions"/>
    <w:p>
      <w:pPr>
        <w:pStyle w:val="Heading1"/>
      </w:pPr>
      <w:r>
        <w:t xml:space="preserve">CONCLUSIONS</w:t>
      </w:r>
    </w:p>
    <w:p>
      <w:pPr>
        <w:pStyle w:val="FirstParagraph"/>
      </w:pPr>
      <w:r>
        <w:t xml:space="preserve">The model could predict grades in initial math courses for first-time freshmen with an R-squared value of 0.28, root mean square error of 1.01, and mean absolute error of 0.8. The variables most important to the model were the high school GPA, the ACT math test scores, and their derivative z-scores and combined distance.</w:t>
      </w:r>
    </w:p>
    <w:p>
      <w:pPr>
        <w:pStyle w:val="BodyText"/>
      </w:pPr>
      <w:r>
        <w:t xml:space="preserve">The model had optimum performance in separating an at-risk population and a successful population at a predicted grade threshold of 2.4 (between a C-plus and a B-minus.) Accuracy at this cut-off had a Kappa value of 0.41.</w:t>
      </w:r>
    </w:p>
    <w:p>
      <w:pPr>
        <w:pStyle w:val="BodyText"/>
      </w:pPr>
      <w:r>
        <w:t xml:space="preserve">At this cut-off, the actual failure metrics (grades less than a 1.7) were 76% recall and 29% precision, or roughly one-third of the identified</w:t>
      </w:r>
      <w:r>
        <w:t xml:space="preserve"> </w:t>
      </w:r>
      <w:r>
        <w:t xml:space="preserve">“at risk”</w:t>
      </w:r>
      <w:r>
        <w:t xml:space="preserve"> </w:t>
      </w:r>
      <w:r>
        <w:t xml:space="preserve">group actually failed and one out of twenty-five of the</w:t>
      </w:r>
      <w:r>
        <w:t xml:space="preserve"> </w:t>
      </w:r>
      <w:r>
        <w:t xml:space="preserve">“successful”</w:t>
      </w:r>
      <w:r>
        <w:t xml:space="preserve"> </w:t>
      </w:r>
      <w:r>
        <w:t xml:space="preserve">group actually failed.</w:t>
      </w:r>
    </w:p>
    <w:bookmarkEnd w:id="24"/>
    <w:bookmarkStart w:id="25" w:name="possible-next-steps"/>
    <w:p>
      <w:pPr>
        <w:pStyle w:val="Heading1"/>
      </w:pPr>
      <w:r>
        <w:t xml:space="preserve">POSSIBLE NEXT STEPS</w:t>
      </w:r>
    </w:p>
    <w:p>
      <w:pPr>
        <w:pStyle w:val="FirstParagraph"/>
      </w:pPr>
      <w:r>
        <w:t xml:space="preserve">Grade prediction accuracy should increase with the inclusion of concurrent data, such as:</w:t>
      </w:r>
    </w:p>
    <w:p>
      <w:pPr>
        <w:pStyle w:val="Compact"/>
        <w:numPr>
          <w:ilvl w:val="0"/>
          <w:numId w:val="1001"/>
        </w:numPr>
      </w:pPr>
      <w:r>
        <w:t xml:space="preserve">The number of credits taken</w:t>
      </w:r>
    </w:p>
    <w:p>
      <w:pPr>
        <w:pStyle w:val="Compact"/>
        <w:numPr>
          <w:ilvl w:val="0"/>
          <w:numId w:val="1001"/>
        </w:numPr>
      </w:pPr>
      <w:r>
        <w:t xml:space="preserve">Difficulty of concurrent classes</w:t>
      </w:r>
    </w:p>
    <w:p>
      <w:pPr>
        <w:pStyle w:val="Compact"/>
        <w:numPr>
          <w:ilvl w:val="0"/>
          <w:numId w:val="1001"/>
        </w:numPr>
      </w:pPr>
      <w:r>
        <w:t xml:space="preserve">Initial course grades on quizzes, homework, and initial tests</w:t>
      </w:r>
      <w:r>
        <w:br/>
      </w:r>
    </w:p>
    <w:p>
      <w:pPr>
        <w:pStyle w:val="Compact"/>
        <w:numPr>
          <w:ilvl w:val="0"/>
          <w:numId w:val="1001"/>
        </w:numPr>
      </w:pPr>
      <w:r>
        <w:t xml:space="preserve">Utilization of tutoring services</w:t>
      </w:r>
      <w:r>
        <w:br/>
      </w:r>
    </w:p>
    <w:p>
      <w:pPr>
        <w:pStyle w:val="Compact"/>
        <w:numPr>
          <w:ilvl w:val="0"/>
          <w:numId w:val="1001"/>
        </w:numPr>
      </w:pPr>
      <w:r>
        <w:t xml:space="preserve">Participation in study groups</w:t>
      </w:r>
    </w:p>
    <w:p>
      <w:pPr>
        <w:pStyle w:val="FirstParagraph"/>
      </w:pPr>
      <w:r>
        <w:t xml:space="preserve">The model might improve with an indicator that clusters similar classes (in terms of incoming qualifications) together. This could help differentiate many small courses by combining them.</w:t>
      </w:r>
    </w:p>
    <w:bookmarkEnd w:id="25"/>
    <w:bookmarkStart w:id="98" w:name="results"/>
    <w:p>
      <w:pPr>
        <w:pStyle w:val="Heading1"/>
      </w:pPr>
      <w:r>
        <w:t xml:space="preserve">RESULTS</w:t>
      </w:r>
    </w:p>
    <w:tbl>
      <w:tblPr>
        <w:tblStyle w:val="Table"/>
        <w:tblW w:type="pct" w:w="5000"/>
        <w:tblLayout w:type="fixed"/>
        <w:tblLook w:firstRow="0" w:lastRow="0" w:firstColumn="0" w:lastColumn="0" w:noHBand="0" w:noVBand="0" w:val="0000"/>
      </w:tblPr>
      <w:tblGrid>
        <w:gridCol w:w="7920"/>
      </w:tblGrid>
      <w:tr>
        <w:tc>
          <w:tcPr/>
          <w:bookmarkStart w:id="29" w:name="fig-pipeline"/>
          <w:p>
            <w:pPr>
              <w:jc w:val="center"/>
            </w:pPr>
            <w:pPr>
              <w:jc w:val="start"/>
              <w:spacing w:before="200"/>
              <w:pStyle w:val="ImageCaption"/>
            </w:pPr>
            <w:r>
              <w:t xml:space="preserve">Figure 1: Model compared to the timeline of actual student experience</w:t>
            </w:r>
          </w:p>
          <w:p>
            <w:pPr>
              <w:pStyle w:val="Compact"/>
              <w:jc w:val="center"/>
            </w:pPr>
            <w:r>
              <w:drawing>
                <wp:inline>
                  <wp:extent cx="5334000" cy="2963333"/>
                  <wp:effectExtent b="0" l="0" r="0" t="0"/>
                  <wp:docPr descr="" title="" id="27" name="Picture"/>
                  <a:graphic>
                    <a:graphicData uri="http://schemas.openxmlformats.org/drawingml/2006/picture">
                      <pic:pic>
                        <pic:nvPicPr>
                          <pic:cNvPr descr="Deeper-Dive-into-vH4-model--quarto-_files/figure-docx/fig-pipeline-1.png" id="28" name="Picture"/>
                          <pic:cNvPicPr>
                            <a:picLocks noChangeArrowheads="1" noChangeAspect="1"/>
                          </pic:cNvPicPr>
                        </pic:nvPicPr>
                        <pic:blipFill>
                          <a:blip r:embed="rId26"/>
                          <a:stretch>
                            <a:fillRect/>
                          </a:stretch>
                        </pic:blipFill>
                        <pic:spPr bwMode="auto">
                          <a:xfrm>
                            <a:off x="0" y="0"/>
                            <a:ext cx="5334000" cy="2963333"/>
                          </a:xfrm>
                          <a:prstGeom prst="rect">
                            <a:avLst/>
                          </a:prstGeom>
                          <a:noFill/>
                          <a:ln w="9525">
                            <a:noFill/>
                            <a:headEnd/>
                            <a:tailEnd/>
                          </a:ln>
                        </pic:spPr>
                      </pic:pic>
                    </a:graphicData>
                  </a:graphic>
                </wp:inline>
              </w:drawing>
            </w:r>
          </w:p>
          <w:bookmarkEnd w:id="29"/>
        </w:tc>
      </w:tr>
    </w:tbl>
    <w:tbl>
      <w:tblPr>
        <w:tblStyle w:val="Table"/>
        <w:tblW w:type="pct" w:w="5000"/>
        <w:tblLayout w:type="fixed"/>
        <w:tblLook w:firstRow="0" w:lastRow="0" w:firstColumn="0" w:lastColumn="0" w:noHBand="0" w:noVBand="0" w:val="0000"/>
      </w:tblPr>
      <w:tblGrid>
        <w:gridCol w:w="7920"/>
      </w:tblGrid>
      <w:tr>
        <w:tc>
          <w:tcPr/>
          <w:bookmarkStart w:id="30" w:name="tbl-results"/>
          <w:p>
            <w:pPr>
              <w:jc w:val="center"/>
            </w:pPr>
            <w:pPr>
              <w:jc w:val="start"/>
              <w:spacing w:before="200"/>
              <w:pStyle w:val="ImageCaption"/>
            </w:pPr>
            <w:r>
              <w:t xml:space="preserve">Table 1: Regression Results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58"/>
              <w:gridCol w:w="1046"/>
              <w:gridCol w:w="900"/>
              <w:gridCol w:w="839"/>
              <w:gridCol w:w="1927"/>
              <w:gridCol w:w="1780"/>
              <w:gridCol w:w="1584"/>
              <w:gridCol w:w="1438"/>
            </w:tblGrid>
            <w:tr>
              <w:trPr>
                <w:trHeight w:val="571"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Raw Metrics</w:t>
                  </w:r>
                </w:p>
              </w:tc>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Normalized Metrics</w:t>
                  </w:r>
                </w:p>
              </w:tc>
            </w:tr>
            <w:tr>
              <w:trPr>
                <w:trHeight w:val="617"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RMSE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R2</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NRMSE_range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NMAE_range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NRMSE_sd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NMAE_sd</w:t>
                  </w:r>
                </w:p>
              </w:tc>
            </w:tr>
            <w:tr>
              <w:trPr>
                <w:trHeight w:val="574"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GRADEGPA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w:t>
                  </w:r>
                </w:p>
              </w:tc>
            </w:tr>
          </w:tbl>
          <w:bookmarkEnd w:id="30"/>
        </w:tc>
      </w:tr>
    </w:tbl>
    <w:tbl>
      <w:tblPr>
        <w:tblStyle w:val="Table"/>
        <w:tblW w:type="pct" w:w="5000"/>
        <w:tblLayout w:type="fixed"/>
        <w:tblLook w:firstRow="0" w:lastRow="0" w:firstColumn="0" w:lastColumn="0" w:noHBand="0" w:noVBand="0" w:val="0000"/>
      </w:tblPr>
      <w:tblGrid>
        <w:gridCol w:w="7920"/>
      </w:tblGrid>
      <w:tr>
        <w:tc>
          <w:tcPr/>
          <w:bookmarkStart w:id="34" w:name="fig-results_scatter_box"/>
          <w:p>
            <w:pPr>
              <w:jc w:val="center"/>
            </w:pPr>
            <w:pPr>
              <w:jc w:val="start"/>
              <w:spacing w:before="200"/>
              <w:pStyle w:val="ImageCaption"/>
            </w:pPr>
            <w:r>
              <w:t xml:space="preserve">Figure 2: These plots show what the correct prediction value would be with a red line.</w:t>
            </w:r>
          </w:p>
          <w:p>
            <w:pPr>
              <w:pStyle w:val="Compact"/>
              <w:jc w:val="center"/>
            </w:pPr>
            <w:r>
              <w:drawing>
                <wp:inline>
                  <wp:extent cx="5334000" cy="3809999"/>
                  <wp:effectExtent b="0" l="0" r="0" t="0"/>
                  <wp:docPr descr="" title="" id="32" name="Picture"/>
                  <a:graphic>
                    <a:graphicData uri="http://schemas.openxmlformats.org/drawingml/2006/picture">
                      <pic:pic>
                        <pic:nvPicPr>
                          <pic:cNvPr descr="Deeper-Dive-into-vH4-model--quarto-_files/figure-docx/fig-results_scatter_box-1.png" id="33" name="Picture"/>
                          <pic:cNvPicPr>
                            <a:picLocks noChangeArrowheads="1" noChangeAspect="1"/>
                          </pic:cNvPicPr>
                        </pic:nvPicPr>
                        <pic:blipFill>
                          <a:blip r:embed="rId31"/>
                          <a:stretch>
                            <a:fillRect/>
                          </a:stretch>
                        </pic:blipFill>
                        <pic:spPr bwMode="auto">
                          <a:xfrm>
                            <a:off x="0" y="0"/>
                            <a:ext cx="5334000" cy="3809999"/>
                          </a:xfrm>
                          <a:prstGeom prst="rect">
                            <a:avLst/>
                          </a:prstGeom>
                          <a:noFill/>
                          <a:ln w="9525">
                            <a:noFill/>
                            <a:headEnd/>
                            <a:tailEnd/>
                          </a:ln>
                        </pic:spPr>
                      </pic:pic>
                    </a:graphicData>
                  </a:graphic>
                </wp:inline>
              </w:drawing>
            </w:r>
          </w:p>
          <w:bookmarkEnd w:id="34"/>
        </w:tc>
      </w:tr>
    </w:tbl>
    <w:tbl>
      <w:tblPr>
        <w:tblStyle w:val="Table"/>
        <w:tblW w:type="pct" w:w="5000"/>
        <w:tblLayout w:type="fixed"/>
        <w:tblLook w:firstRow="0" w:lastRow="0" w:firstColumn="0" w:lastColumn="0" w:noHBand="0" w:noVBand="0" w:val="0000"/>
      </w:tblPr>
      <w:tblGrid>
        <w:gridCol w:w="7920"/>
      </w:tblGrid>
      <w:tr>
        <w:tc>
          <w:tcPr/>
          <w:bookmarkStart w:id="38" w:name="fig-density"/>
          <w:p>
            <w:pPr>
              <w:jc w:val="center"/>
            </w:pPr>
            <w:pPr>
              <w:jc w:val="start"/>
              <w:spacing w:before="200"/>
              <w:pStyle w:val="ImageCaption"/>
            </w:pPr>
            <w:r>
              <w:t xml:space="preserve">Figure 3: The model tends to predict towards the center, while most students earn an</w:t>
            </w:r>
            <w:r>
              <w:t xml:space="preserve"> </w:t>
            </w:r>
            <w:r>
              <w:t xml:space="preserve">‘A’</w:t>
            </w:r>
            <w:r>
              <w:t xml:space="preserve">.</w:t>
            </w:r>
          </w:p>
          <w:p>
            <w:pPr>
              <w:pStyle w:val="Compact"/>
              <w:jc w:val="center"/>
            </w:pPr>
            <w:r>
              <w:drawing>
                <wp:inline>
                  <wp:extent cx="5334000" cy="3809999"/>
                  <wp:effectExtent b="0" l="0" r="0" t="0"/>
                  <wp:docPr descr="" title="" id="36" name="Picture"/>
                  <a:graphic>
                    <a:graphicData uri="http://schemas.openxmlformats.org/drawingml/2006/picture">
                      <pic:pic>
                        <pic:nvPicPr>
                          <pic:cNvPr descr="Deeper-Dive-into-vH4-model--quarto-_files/figure-docx/fig-density-1.png" id="37" name="Picture"/>
                          <pic:cNvPicPr>
                            <a:picLocks noChangeArrowheads="1" noChangeAspect="1"/>
                          </pic:cNvPicPr>
                        </pic:nvPicPr>
                        <pic:blipFill>
                          <a:blip r:embed="rId35"/>
                          <a:stretch>
                            <a:fillRect/>
                          </a:stretch>
                        </pic:blipFill>
                        <pic:spPr bwMode="auto">
                          <a:xfrm>
                            <a:off x="0" y="0"/>
                            <a:ext cx="5334000" cy="3809999"/>
                          </a:xfrm>
                          <a:prstGeom prst="rect">
                            <a:avLst/>
                          </a:prstGeom>
                          <a:noFill/>
                          <a:ln w="9525">
                            <a:noFill/>
                            <a:headEnd/>
                            <a:tailEnd/>
                          </a:ln>
                        </pic:spPr>
                      </pic:pic>
                    </a:graphicData>
                  </a:graphic>
                </wp:inline>
              </w:drawing>
            </w:r>
          </w:p>
          <w:bookmarkEnd w:id="38"/>
        </w:tc>
      </w:tr>
    </w:tbl>
    <w:tbl>
      <w:tblPr>
        <w:tblStyle w:val="Table"/>
        <w:tblW w:type="pct" w:w="5000"/>
        <w:tblLayout w:type="fixed"/>
        <w:tblLook w:firstRow="0" w:lastRow="0" w:firstColumn="0" w:lastColumn="0" w:noHBand="0" w:noVBand="0" w:val="0000"/>
      </w:tblPr>
      <w:tblGrid>
        <w:gridCol w:w="7920"/>
      </w:tblGrid>
      <w:tr>
        <w:tc>
          <w:tcPr/>
          <w:bookmarkStart w:id="42" w:name="fig-heatmap"/>
          <w:p>
            <w:pPr>
              <w:jc w:val="center"/>
            </w:pPr>
            <w:pPr>
              <w:jc w:val="start"/>
              <w:spacing w:before="200"/>
              <w:pStyle w:val="ImageCaption"/>
            </w:pPr>
            <w:r>
              <w:t xml:space="preserve">Figure 4: The heatmap shows grade expectations increase with ACT Math and high school GPA.</w:t>
            </w:r>
          </w:p>
          <w:p>
            <w:pPr>
              <w:pStyle w:val="Compact"/>
              <w:jc w:val="center"/>
            </w:pPr>
            <w:r>
              <w:drawing>
                <wp:inline>
                  <wp:extent cx="5334000" cy="2667000"/>
                  <wp:effectExtent b="0" l="0" r="0" t="0"/>
                  <wp:docPr descr="" title="" id="40" name="Picture"/>
                  <a:graphic>
                    <a:graphicData uri="http://schemas.openxmlformats.org/drawingml/2006/picture">
                      <pic:pic>
                        <pic:nvPicPr>
                          <pic:cNvPr descr="Deeper-Dive-into-vH4-model--quarto-_files/figure-docx/fig-heatmap-1.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bookmarkEnd w:id="42"/>
        </w:tc>
      </w:tr>
    </w:tbl>
    <w:bookmarkStart w:id="64" w:name="X0211e8126c8954e796d953b547287f3aa7036d2"/>
    <w:p>
      <w:pPr>
        <w:pStyle w:val="Heading2"/>
      </w:pPr>
      <w:r>
        <w:t xml:space="preserve">Selection of model optimum binary cut-off or threshold</w:t>
      </w:r>
    </w:p>
    <w:p>
      <w:pPr>
        <w:pStyle w:val="FirstParagraph"/>
      </w:pPr>
      <w:r>
        <w:t xml:space="preserve">The model has the highest accuracy in separating into high/low (or succeed/at-risk) populations at a predicted grade of 2.4, between an actual grade of C-plus (2.3) and B-minus (2.7).</w:t>
      </w:r>
    </w:p>
    <w:tbl>
      <w:tblPr>
        <w:tblStyle w:val="Table"/>
        <w:tblW w:type="pct" w:w="5000"/>
        <w:tblLayout w:type="fixed"/>
        <w:tblLook w:firstRow="0" w:lastRow="0" w:firstColumn="0" w:lastColumn="0" w:noHBand="0" w:noVBand="0" w:val="0000"/>
      </w:tblPr>
      <w:tblGrid>
        <w:gridCol w:w="7920"/>
      </w:tblGrid>
      <w:tr>
        <w:tc>
          <w:tcPr/>
          <w:bookmarkStart w:id="46" w:name="fig-threshold"/>
          <w:p>
            <w:pPr>
              <w:jc w:val="center"/>
            </w:pPr>
            <w:pPr>
              <w:jc w:val="start"/>
              <w:spacing w:before="200"/>
              <w:pStyle w:val="ImageCaption"/>
            </w:pPr>
            <w:r>
              <w:t xml:space="preserve">Figure 5: Selection of model optimum cut-off</w:t>
            </w:r>
          </w:p>
          <w:p>
            <w:pPr>
              <w:pStyle w:val="Compact"/>
              <w:jc w:val="center"/>
            </w:pPr>
            <w:r>
              <w:drawing>
                <wp:inline>
                  <wp:extent cx="5334000" cy="3333750"/>
                  <wp:effectExtent b="0" l="0" r="0" t="0"/>
                  <wp:docPr descr="" title="" id="44" name="Picture"/>
                  <a:graphic>
                    <a:graphicData uri="http://schemas.openxmlformats.org/drawingml/2006/picture">
                      <pic:pic>
                        <pic:nvPicPr>
                          <pic:cNvPr descr="Deeper-Dive-into-vH4-model--quarto-_files/figure-docx/fig-threshold-1.png" id="45" name="Picture"/>
                          <pic:cNvPicPr>
                            <a:picLocks noChangeArrowheads="1" noChangeAspect="1"/>
                          </pic:cNvPicPr>
                        </pic:nvPicPr>
                        <pic:blipFill>
                          <a:blip r:embed="rId43"/>
                          <a:stretch>
                            <a:fillRect/>
                          </a:stretch>
                        </pic:blipFill>
                        <pic:spPr bwMode="auto">
                          <a:xfrm>
                            <a:off x="0" y="0"/>
                            <a:ext cx="5334000" cy="3333750"/>
                          </a:xfrm>
                          <a:prstGeom prst="rect">
                            <a:avLst/>
                          </a:prstGeom>
                          <a:noFill/>
                          <a:ln w="9525">
                            <a:noFill/>
                            <a:headEnd/>
                            <a:tailEnd/>
                          </a:ln>
                        </pic:spPr>
                      </pic:pic>
                    </a:graphicData>
                  </a:graphic>
                </wp:inline>
              </w:drawing>
            </w:r>
          </w:p>
          <w:bookmarkEnd w:id="46"/>
        </w:tc>
      </w:tr>
    </w:tbl>
    <w:tbl>
      <w:tblPr>
        <w:tblStyle w:val="Table"/>
        <w:tblW w:type="pct" w:w="5000"/>
        <w:tblLayout w:type="fixed"/>
        <w:tblLook w:firstRow="0" w:lastRow="0" w:firstColumn="0" w:lastColumn="0" w:noHBand="0" w:noVBand="0" w:val="0000"/>
      </w:tblPr>
      <w:tblGrid>
        <w:gridCol w:w="7920"/>
      </w:tblGrid>
      <w:tr>
        <w:tc>
          <w:tcPr/>
          <w:bookmarkStart w:id="50" w:name="fig-binary_cm"/>
          <w:p>
            <w:pPr>
              <w:jc w:val="center"/>
            </w:pPr>
            <w:pPr>
              <w:jc w:val="start"/>
              <w:spacing w:before="200"/>
              <w:pStyle w:val="ImageCaption"/>
            </w:pPr>
            <w:r>
              <w:t xml:space="preserve">Figure 6: Confusion matrix at model binary optimum</w:t>
            </w:r>
          </w:p>
          <w:p>
            <w:pPr>
              <w:pStyle w:val="Compact"/>
              <w:jc w:val="center"/>
            </w:pPr>
            <w:r>
              <w:drawing>
                <wp:inline>
                  <wp:extent cx="5334000" cy="3809999"/>
                  <wp:effectExtent b="0" l="0" r="0" t="0"/>
                  <wp:docPr descr="" title="" id="48" name="Picture"/>
                  <a:graphic>
                    <a:graphicData uri="http://schemas.openxmlformats.org/drawingml/2006/picture">
                      <pic:pic>
                        <pic:nvPicPr>
                          <pic:cNvPr descr="Deeper-Dive-into-vH4-model--quarto-_files/figure-docx/fig-binary_cm-1.png" id="49" name="Picture"/>
                          <pic:cNvPicPr>
                            <a:picLocks noChangeArrowheads="1" noChangeAspect="1"/>
                          </pic:cNvPicPr>
                        </pic:nvPicPr>
                        <pic:blipFill>
                          <a:blip r:embed="rId47"/>
                          <a:stretch>
                            <a:fillRect/>
                          </a:stretch>
                        </pic:blipFill>
                        <pic:spPr bwMode="auto">
                          <a:xfrm>
                            <a:off x="0" y="0"/>
                            <a:ext cx="5334000" cy="3809999"/>
                          </a:xfrm>
                          <a:prstGeom prst="rect">
                            <a:avLst/>
                          </a:prstGeom>
                          <a:noFill/>
                          <a:ln w="9525">
                            <a:noFill/>
                            <a:headEnd/>
                            <a:tailEnd/>
                          </a:ln>
                        </pic:spPr>
                      </pic:pic>
                    </a:graphicData>
                  </a:graphic>
                </wp:inline>
              </w:drawing>
            </w:r>
          </w:p>
          <w:bookmarkEnd w:id="50"/>
        </w:tc>
      </w:tr>
    </w:tbl>
    <w:tbl>
      <w:tblPr>
        <w:tblStyle w:val="Table"/>
        <w:tblW w:type="pct" w:w="5000"/>
        <w:tblLayout w:type="fixed"/>
        <w:tblLook w:firstRow="0" w:lastRow="0" w:firstColumn="0" w:lastColumn="0" w:noHBand="0" w:noVBand="0" w:val="0000"/>
      </w:tblPr>
      <w:tblGrid>
        <w:gridCol w:w="7920"/>
      </w:tblGrid>
      <w:tr>
        <w:tc>
          <w:tcPr/>
          <w:bookmarkStart w:id="51" w:name="tbl-risk"/>
          <w:p>
            <w:pPr>
              <w:jc w:val="center"/>
            </w:pPr>
            <w:pPr>
              <w:jc w:val="start"/>
              <w:spacing w:before="200"/>
              <w:pStyle w:val="ImageCaption"/>
            </w:pPr>
            <w:r>
              <w:t xml:space="preserve">Table 2: Actual failure rates of</w:t>
            </w:r>
            <w:r>
              <w:t xml:space="preserve"> </w:t>
            </w:r>
            <w:r>
              <w:t xml:space="preserve">‘Success’</w:t>
            </w:r>
            <w:r>
              <w:t xml:space="preserve"> </w:t>
            </w:r>
            <w:r>
              <w:t xml:space="preserve">and</w:t>
            </w:r>
            <w:r>
              <w:t xml:space="preserve"> </w:t>
            </w:r>
            <w:r>
              <w:t xml:space="preserve">‘At Risk’</w:t>
            </w:r>
            <w:r>
              <w:t xml:space="preserve"> </w:t>
            </w:r>
            <w:r>
              <w:t xml:space="preserve">populations at model binary optimum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10"/>
              <w:gridCol w:w="2238"/>
              <w:gridCol w:w="2365"/>
            </w:tblGrid>
            <w:tr>
              <w:trPr>
                <w:trHeight w:val="574"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Actual Grade</w:t>
                  </w:r>
                </w:p>
              </w:tc>
            </w:tr>
            <w:tr>
              <w:trPr>
                <w:trHeight w:val="617"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Predicted Grade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Actual: Fail (&lt;1.7)</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Actual: Pass (≥1.7)</w:t>
                  </w:r>
                </w:p>
              </w:tc>
            </w:tr>
            <w:tr>
              <w:trPr>
                <w:trHeight w:val="77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(21.2%)</w:t>
                  </w:r>
                </w:p>
              </w:tc>
            </w:tr>
            <w:tr>
              <w:trPr>
                <w:trHeight w:val="778"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1148</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(67.5%)</w:t>
                  </w:r>
                </w:p>
              </w:tc>
            </w:tr>
          </w:tbl>
          <w:bookmarkEnd w:id="51"/>
        </w:tc>
      </w:tr>
    </w:tbl>
    <w:p>
      <w:pPr>
        <w:pStyle w:val="BodyText"/>
      </w:pPr>
      <w:r>
        <w:t xml:space="preserve">Students predicted to have a grade less than 2.4 are a high-risk group of students. 29% of these 507 students actually did fail, or 76% of the total of students who failed. (76% recall and 29% precision).</w:t>
      </w:r>
    </w:p>
    <w:p>
      <w:pPr>
        <w:pStyle w:val="BodyText"/>
      </w:pPr>
      <w:r>
        <w:t xml:space="preserve">This compares to the risk of students predicted to have a grade more than 2.4. Only 47 of these 1195 students failed, or 4%.</w:t>
      </w:r>
    </w:p>
    <w:p>
      <w:pPr>
        <w:pStyle w:val="BodyText"/>
      </w:pPr>
      <w:r>
        <w:t xml:space="preserve">The following histograms compare the ranges of grades predicted and actually received. In</w:t>
      </w:r>
      <w:r>
        <w:t xml:space="preserve"> </w:t>
      </w:r>
      <w:hyperlink w:anchor="fig-pred_hist_actual">
        <w:r>
          <w:rPr>
            <w:rStyle w:val="Hyperlink"/>
          </w:rPr>
          <w:t xml:space="preserve">Figure 7</w:t>
        </w:r>
      </w:hyperlink>
      <w:r>
        <w:t xml:space="preserve">, 69 students predicted to get a grade less than 2.4 received a grade of zero. In</w:t>
      </w:r>
      <w:r>
        <w:t xml:space="preserve"> </w:t>
      </w:r>
      <w:hyperlink w:anchor="fig-pred_hist_predict">
        <w:r>
          <w:rPr>
            <w:rStyle w:val="Hyperlink"/>
          </w:rPr>
          <w:t xml:space="preserve">Figure 8</w:t>
        </w:r>
      </w:hyperlink>
      <w:r>
        <w:t xml:space="preserve">, of the students who actually received a grade less than 2.4, only nine of them were predicted to get a grade less than one.</w:t>
      </w:r>
    </w:p>
    <w:tbl>
      <w:tblPr>
        <w:tblStyle w:val="Table"/>
        <w:tblW w:type="pct" w:w="5000"/>
        <w:tblLayout w:type="fixed"/>
        <w:tblLook w:firstRow="0" w:lastRow="0" w:firstColumn="0" w:lastColumn="0" w:noHBand="0" w:noVBand="0" w:val="0000"/>
      </w:tblPr>
      <w:tblGrid>
        <w:gridCol w:w="7920"/>
      </w:tblGrid>
      <w:tr>
        <w:tc>
          <w:tcPr/>
          <w:bookmarkStart w:id="55" w:name="fig-pred_hist_actual"/>
          <w:p>
            <w:pPr>
              <w:jc w:val="center"/>
            </w:pPr>
            <w:pPr>
              <w:jc w:val="start"/>
              <w:spacing w:before="200"/>
              <w:pStyle w:val="ImageCaption"/>
            </w:pPr>
            <w:r>
              <w:t xml:space="preserve">Figure 7: Illustration of prediction accuracy: where the histogram shows the actual grades received for the grades predicted in the dotted box.</w:t>
            </w:r>
          </w:p>
          <w:p>
            <w:pPr>
              <w:pStyle w:val="Compact"/>
              <w:jc w:val="center"/>
            </w:pPr>
            <w:r>
              <w:drawing>
                <wp:inline>
                  <wp:extent cx="5334000" cy="3809999"/>
                  <wp:effectExtent b="0" l="0" r="0" t="0"/>
                  <wp:docPr descr="" title="" id="53" name="Picture"/>
                  <a:graphic>
                    <a:graphicData uri="http://schemas.openxmlformats.org/drawingml/2006/picture">
                      <pic:pic>
                        <pic:nvPicPr>
                          <pic:cNvPr descr="Deeper-Dive-into-vH4-model--quarto-_files/figure-docx/fig-pred_hist_actual-1.png" id="54" name="Picture"/>
                          <pic:cNvPicPr>
                            <a:picLocks noChangeArrowheads="1" noChangeAspect="1"/>
                          </pic:cNvPicPr>
                        </pic:nvPicPr>
                        <pic:blipFill>
                          <a:blip r:embed="rId52"/>
                          <a:stretch>
                            <a:fillRect/>
                          </a:stretch>
                        </pic:blipFill>
                        <pic:spPr bwMode="auto">
                          <a:xfrm>
                            <a:off x="0" y="0"/>
                            <a:ext cx="5334000" cy="3809999"/>
                          </a:xfrm>
                          <a:prstGeom prst="rect">
                            <a:avLst/>
                          </a:prstGeom>
                          <a:noFill/>
                          <a:ln w="9525">
                            <a:noFill/>
                            <a:headEnd/>
                            <a:tailEnd/>
                          </a:ln>
                        </pic:spPr>
                      </pic:pic>
                    </a:graphicData>
                  </a:graphic>
                </wp:inline>
              </w:drawing>
            </w:r>
          </w:p>
          <w:bookmarkEnd w:id="55"/>
        </w:tc>
      </w:tr>
    </w:tbl>
    <w:tbl>
      <w:tblPr>
        <w:tblStyle w:val="Table"/>
        <w:tblW w:type="pct" w:w="5000"/>
        <w:tblLayout w:type="fixed"/>
        <w:tblLook w:firstRow="0" w:lastRow="0" w:firstColumn="0" w:lastColumn="0" w:noHBand="0" w:noVBand="0" w:val="0000"/>
      </w:tblPr>
      <w:tblGrid>
        <w:gridCol w:w="7920"/>
      </w:tblGrid>
      <w:tr>
        <w:tc>
          <w:tcPr/>
          <w:bookmarkStart w:id="59" w:name="fig-pred_hist_predict"/>
          <w:p>
            <w:pPr>
              <w:jc w:val="center"/>
            </w:pPr>
            <w:pPr>
              <w:jc w:val="start"/>
              <w:spacing w:before="200"/>
              <w:pStyle w:val="ImageCaption"/>
            </w:pPr>
            <w:r>
              <w:t xml:space="preserve">Figure 8: Illustration of prediction accuracy: where the histogram shows the predicted grades for the actual grades received in the dotted box.</w:t>
            </w:r>
          </w:p>
          <w:p>
            <w:pPr>
              <w:pStyle w:val="Compact"/>
              <w:jc w:val="center"/>
            </w:pPr>
            <w:r>
              <w:drawing>
                <wp:inline>
                  <wp:extent cx="5334000" cy="3809999"/>
                  <wp:effectExtent b="0" l="0" r="0" t="0"/>
                  <wp:docPr descr="" title="" id="57" name="Picture"/>
                  <a:graphic>
                    <a:graphicData uri="http://schemas.openxmlformats.org/drawingml/2006/picture">
                      <pic:pic>
                        <pic:nvPicPr>
                          <pic:cNvPr descr="Deeper-Dive-into-vH4-model--quarto-_files/figure-docx/fig-pred_hist_predict-1.png" id="58" name="Picture"/>
                          <pic:cNvPicPr>
                            <a:picLocks noChangeArrowheads="1" noChangeAspect="1"/>
                          </pic:cNvPicPr>
                        </pic:nvPicPr>
                        <pic:blipFill>
                          <a:blip r:embed="rId56"/>
                          <a:stretch>
                            <a:fillRect/>
                          </a:stretch>
                        </pic:blipFill>
                        <pic:spPr bwMode="auto">
                          <a:xfrm>
                            <a:off x="0" y="0"/>
                            <a:ext cx="5334000" cy="3809999"/>
                          </a:xfrm>
                          <a:prstGeom prst="rect">
                            <a:avLst/>
                          </a:prstGeom>
                          <a:noFill/>
                          <a:ln w="9525">
                            <a:noFill/>
                            <a:headEnd/>
                            <a:tailEnd/>
                          </a:ln>
                        </pic:spPr>
                      </pic:pic>
                    </a:graphicData>
                  </a:graphic>
                </wp:inline>
              </w:drawing>
            </w:r>
          </w:p>
          <w:bookmarkEnd w:id="59"/>
        </w:tc>
      </w:tr>
    </w:tbl>
    <w:p>
      <w:pPr>
        <w:pStyle w:val="BodyText"/>
      </w:pPr>
      <w:r>
        <w:t xml:space="preserve">This model also shows a high precision point at a predicted GPA of 0.9. These candidates would predictably fail, and could be considered an admissions mistake. However, there are only eight people so identified (out of 1,759), suggesting nearly all students admitted to the U have a strong expectation of passing initial math courses.</w:t>
      </w:r>
    </w:p>
    <w:tbl>
      <w:tblPr>
        <w:tblStyle w:val="Table"/>
        <w:tblW w:type="pct" w:w="5000"/>
        <w:tblLayout w:type="fixed"/>
        <w:tblLook w:firstRow="0" w:lastRow="0" w:firstColumn="0" w:lastColumn="0" w:noHBand="0" w:noVBand="0" w:val="0000"/>
      </w:tblPr>
      <w:tblGrid>
        <w:gridCol w:w="7920"/>
      </w:tblGrid>
      <w:tr>
        <w:tc>
          <w:tcPr/>
          <w:bookmarkStart w:id="63" w:name="fig-fail_cm"/>
          <w:p>
            <w:pPr>
              <w:jc w:val="center"/>
            </w:pPr>
            <w:pPr>
              <w:jc w:val="start"/>
              <w:spacing w:before="200"/>
              <w:pStyle w:val="ImageCaption"/>
            </w:pPr>
            <w:r>
              <w:t xml:space="preserve">Figure 9: Confusion matrix for</w:t>
            </w:r>
            <w:r>
              <w:t xml:space="preserve"> </w:t>
            </w:r>
            <w:r>
              <w:t xml:space="preserve">‘admission mistake’</w:t>
            </w:r>
            <w:r>
              <w:t xml:space="preserve"> </w:t>
            </w:r>
            <w:r>
              <w:t xml:space="preserve">candidates</w:t>
            </w:r>
          </w:p>
          <w:p>
            <w:pPr>
              <w:pStyle w:val="Compact"/>
              <w:jc w:val="center"/>
            </w:pPr>
            <w:r>
              <w:drawing>
                <wp:inline>
                  <wp:extent cx="5334000" cy="3809999"/>
                  <wp:effectExtent b="0" l="0" r="0" t="0"/>
                  <wp:docPr descr="" title="" id="61" name="Picture"/>
                  <a:graphic>
                    <a:graphicData uri="http://schemas.openxmlformats.org/drawingml/2006/picture">
                      <pic:pic>
                        <pic:nvPicPr>
                          <pic:cNvPr descr="Deeper-Dive-into-vH4-model--quarto-_files/figure-docx/fig-fail_cm-1.png" id="62" name="Picture"/>
                          <pic:cNvPicPr>
                            <a:picLocks noChangeArrowheads="1" noChangeAspect="1"/>
                          </pic:cNvPicPr>
                        </pic:nvPicPr>
                        <pic:blipFill>
                          <a:blip r:embed="rId60"/>
                          <a:stretch>
                            <a:fillRect/>
                          </a:stretch>
                        </pic:blipFill>
                        <pic:spPr bwMode="auto">
                          <a:xfrm>
                            <a:off x="0" y="0"/>
                            <a:ext cx="5334000" cy="3809999"/>
                          </a:xfrm>
                          <a:prstGeom prst="rect">
                            <a:avLst/>
                          </a:prstGeom>
                          <a:noFill/>
                          <a:ln w="9525">
                            <a:noFill/>
                            <a:headEnd/>
                            <a:tailEnd/>
                          </a:ln>
                        </pic:spPr>
                      </pic:pic>
                    </a:graphicData>
                  </a:graphic>
                </wp:inline>
              </w:drawing>
            </w:r>
          </w:p>
          <w:bookmarkEnd w:id="63"/>
        </w:tc>
      </w:tr>
    </w:tbl>
    <w:bookmarkEnd w:id="64"/>
    <w:bookmarkStart w:id="97" w:name="variable-importance"/>
    <w:p>
      <w:pPr>
        <w:pStyle w:val="Heading2"/>
      </w:pPr>
      <w:r>
        <w:t xml:space="preserve">Variable importance</w:t>
      </w:r>
    </w:p>
    <w:tbl>
      <w:tblPr>
        <w:tblStyle w:val="Table"/>
        <w:tblW w:type="pct" w:w="5000"/>
        <w:tblLayout w:type="fixed"/>
        <w:tblLook w:firstRow="0" w:lastRow="0" w:firstColumn="0" w:lastColumn="0" w:noHBand="0" w:noVBand="0" w:val="0000"/>
      </w:tblPr>
      <w:tblGrid>
        <w:gridCol w:w="7920"/>
      </w:tblGrid>
      <w:tr>
        <w:tc>
          <w:tcPr/>
          <w:bookmarkStart w:id="68" w:name="fig-importance"/>
          <w:p>
            <w:pPr>
              <w:jc w:val="center"/>
            </w:pPr>
            <w:pPr>
              <w:jc w:val="start"/>
              <w:spacing w:before="200"/>
              <w:pStyle w:val="ImageCaption"/>
            </w:pPr>
            <w:r>
              <w:t xml:space="preserve">Figure 10: Variable importance to the model</w:t>
            </w:r>
          </w:p>
          <w:p>
            <w:pPr>
              <w:pStyle w:val="Compact"/>
              <w:jc w:val="center"/>
            </w:pPr>
            <w:r>
              <w:drawing>
                <wp:inline>
                  <wp:extent cx="5334000" cy="3809999"/>
                  <wp:effectExtent b="0" l="0" r="0" t="0"/>
                  <wp:docPr descr="" title="" id="66" name="Picture"/>
                  <a:graphic>
                    <a:graphicData uri="http://schemas.openxmlformats.org/drawingml/2006/picture">
                      <pic:pic>
                        <pic:nvPicPr>
                          <pic:cNvPr descr="Deeper-Dive-into-vH4-model--quarto-_files/figure-docx/fig-importance-1.png" id="67" name="Picture"/>
                          <pic:cNvPicPr>
                            <a:picLocks noChangeArrowheads="1" noChangeAspect="1"/>
                          </pic:cNvPicPr>
                        </pic:nvPicPr>
                        <pic:blipFill>
                          <a:blip r:embed="rId65"/>
                          <a:stretch>
                            <a:fillRect/>
                          </a:stretch>
                        </pic:blipFill>
                        <pic:spPr bwMode="auto">
                          <a:xfrm>
                            <a:off x="0" y="0"/>
                            <a:ext cx="5334000" cy="3809999"/>
                          </a:xfrm>
                          <a:prstGeom prst="rect">
                            <a:avLst/>
                          </a:prstGeom>
                          <a:noFill/>
                          <a:ln w="9525">
                            <a:noFill/>
                            <a:headEnd/>
                            <a:tailEnd/>
                          </a:ln>
                        </pic:spPr>
                      </pic:pic>
                    </a:graphicData>
                  </a:graphic>
                </wp:inline>
              </w:drawing>
            </w:r>
          </w:p>
          <w:bookmarkEnd w:id="68"/>
        </w:tc>
      </w:tr>
    </w:tbl>
    <w:tbl>
      <w:tblPr>
        <w:tblStyle w:val="Table"/>
        <w:tblW w:type="pct" w:w="5000"/>
        <w:tblLayout w:type="fixed"/>
        <w:tblLook w:firstRow="0" w:lastRow="0" w:firstColumn="0" w:lastColumn="0" w:noHBand="0" w:noVBand="0" w:val="0000"/>
      </w:tblPr>
      <w:tblGrid>
        <w:gridCol w:w="7920"/>
      </w:tblGrid>
      <w:tr>
        <w:tc>
          <w:tcPr/>
          <w:bookmarkStart w:id="72" w:name="fig-performance"/>
          <w:p>
            <w:pPr>
              <w:jc w:val="center"/>
            </w:pPr>
            <w:pPr>
              <w:jc w:val="start"/>
              <w:spacing w:before="200"/>
              <w:pStyle w:val="ImageCaption"/>
            </w:pPr>
            <w:r>
              <w:t xml:space="preserve">Figure 11: Theory of performance</w:t>
            </w:r>
          </w:p>
          <w:p>
            <w:pPr>
              <w:pStyle w:val="Compact"/>
              <w:jc w:val="center"/>
            </w:pPr>
            <w:r>
              <w:drawing>
                <wp:inline>
                  <wp:extent cx="5334000" cy="2031999"/>
                  <wp:effectExtent b="0" l="0" r="0" t="0"/>
                  <wp:docPr descr="" title="" id="70" name="Picture"/>
                  <a:graphic>
                    <a:graphicData uri="http://schemas.openxmlformats.org/drawingml/2006/picture">
                      <pic:pic>
                        <pic:nvPicPr>
                          <pic:cNvPr descr="Deeper-Dive-into-vH4-model--quarto-_files/figure-docx/fig-performance-1.png" id="71" name="Picture"/>
                          <pic:cNvPicPr>
                            <a:picLocks noChangeArrowheads="1" noChangeAspect="1"/>
                          </pic:cNvPicPr>
                        </pic:nvPicPr>
                        <pic:blipFill>
                          <a:blip r:embed="rId69"/>
                          <a:stretch>
                            <a:fillRect/>
                          </a:stretch>
                        </pic:blipFill>
                        <pic:spPr bwMode="auto">
                          <a:xfrm>
                            <a:off x="0" y="0"/>
                            <a:ext cx="5334000" cy="2031999"/>
                          </a:xfrm>
                          <a:prstGeom prst="rect">
                            <a:avLst/>
                          </a:prstGeom>
                          <a:noFill/>
                          <a:ln w="9525">
                            <a:noFill/>
                            <a:headEnd/>
                            <a:tailEnd/>
                          </a:ln>
                        </pic:spPr>
                      </pic:pic>
                    </a:graphicData>
                  </a:graphic>
                </wp:inline>
              </w:drawing>
            </w:r>
          </w:p>
          <w:bookmarkEnd w:id="72"/>
        </w:tc>
      </w:tr>
    </w:tbl>
    <w:tbl>
      <w:tblPr>
        <w:tblStyle w:val="Table"/>
        <w:tblW w:type="pct" w:w="5000"/>
        <w:tblLayout w:type="fixed"/>
        <w:tblLook w:firstRow="0" w:lastRow="0" w:firstColumn="0" w:lastColumn="0" w:noHBand="0" w:noVBand="0" w:val="0000"/>
      </w:tblPr>
      <w:tblGrid>
        <w:gridCol w:w="7920"/>
      </w:tblGrid>
      <w:tr>
        <w:tc>
          <w:tcPr/>
          <w:bookmarkStart w:id="76" w:name="fig-gpa"/>
          <w:p>
            <w:pPr>
              <w:jc w:val="center"/>
            </w:pPr>
            <w:pPr>
              <w:jc w:val="start"/>
              <w:spacing w:before="200"/>
              <w:pStyle w:val="ImageCaption"/>
            </w:pPr>
            <w:r>
              <w:t xml:space="preserve">Figure 12: #1 Variable: High school GPA</w:t>
            </w:r>
          </w:p>
          <w:p>
            <w:pPr>
              <w:pStyle w:val="Compact"/>
              <w:jc w:val="center"/>
            </w:pPr>
            <w:r>
              <w:drawing>
                <wp:inline>
                  <wp:extent cx="5334000" cy="3809999"/>
                  <wp:effectExtent b="0" l="0" r="0" t="0"/>
                  <wp:docPr descr="" title="" id="74" name="Picture"/>
                  <a:graphic>
                    <a:graphicData uri="http://schemas.openxmlformats.org/drawingml/2006/picture">
                      <pic:pic>
                        <pic:nvPicPr>
                          <pic:cNvPr descr="Deeper-Dive-into-vH4-model--quarto-_files/figure-docx/fig-gpa-1.png" id="75" name="Picture"/>
                          <pic:cNvPicPr>
                            <a:picLocks noChangeArrowheads="1" noChangeAspect="1"/>
                          </pic:cNvPicPr>
                        </pic:nvPicPr>
                        <pic:blipFill>
                          <a:blip r:embed="rId73"/>
                          <a:stretch>
                            <a:fillRect/>
                          </a:stretch>
                        </pic:blipFill>
                        <pic:spPr bwMode="auto">
                          <a:xfrm>
                            <a:off x="0" y="0"/>
                            <a:ext cx="5334000" cy="3809999"/>
                          </a:xfrm>
                          <a:prstGeom prst="rect">
                            <a:avLst/>
                          </a:prstGeom>
                          <a:noFill/>
                          <a:ln w="9525">
                            <a:noFill/>
                            <a:headEnd/>
                            <a:tailEnd/>
                          </a:ln>
                        </pic:spPr>
                      </pic:pic>
                    </a:graphicData>
                  </a:graphic>
                </wp:inline>
              </w:drawing>
            </w:r>
          </w:p>
          <w:bookmarkEnd w:id="76"/>
        </w:tc>
      </w:tr>
    </w:tbl>
    <w:tbl>
      <w:tblPr>
        <w:tblStyle w:val="Table"/>
        <w:tblW w:type="pct" w:w="5000"/>
        <w:tblLayout w:type="fixed"/>
        <w:tblLook w:firstRow="0" w:lastRow="0" w:firstColumn="0" w:lastColumn="0" w:noHBand="0" w:noVBand="0" w:val="0000"/>
      </w:tblPr>
      <w:tblGrid>
        <w:gridCol w:w="7920"/>
      </w:tblGrid>
      <w:tr>
        <w:tc>
          <w:tcPr/>
          <w:bookmarkStart w:id="80" w:name="fig-gpa_z"/>
          <w:p>
            <w:pPr>
              <w:jc w:val="center"/>
            </w:pPr>
            <w:pPr>
              <w:jc w:val="start"/>
              <w:spacing w:before="200"/>
              <w:pStyle w:val="ImageCaption"/>
            </w:pPr>
            <w:r>
              <w:t xml:space="preserve">Figure 13: #2 Variable: High school GPA z-score</w:t>
            </w:r>
          </w:p>
          <w:p>
            <w:pPr>
              <w:pStyle w:val="Compact"/>
              <w:jc w:val="center"/>
            </w:pPr>
            <w:r>
              <w:drawing>
                <wp:inline>
                  <wp:extent cx="5334000" cy="3809999"/>
                  <wp:effectExtent b="0" l="0" r="0" t="0"/>
                  <wp:docPr descr="" title="" id="78" name="Picture"/>
                  <a:graphic>
                    <a:graphicData uri="http://schemas.openxmlformats.org/drawingml/2006/picture">
                      <pic:pic>
                        <pic:nvPicPr>
                          <pic:cNvPr descr="Deeper-Dive-into-vH4-model--quarto-_files/figure-docx/fig-gpa_z-1.png" id="79" name="Picture"/>
                          <pic:cNvPicPr>
                            <a:picLocks noChangeArrowheads="1" noChangeAspect="1"/>
                          </pic:cNvPicPr>
                        </pic:nvPicPr>
                        <pic:blipFill>
                          <a:blip r:embed="rId77"/>
                          <a:stretch>
                            <a:fillRect/>
                          </a:stretch>
                        </pic:blipFill>
                        <pic:spPr bwMode="auto">
                          <a:xfrm>
                            <a:off x="0" y="0"/>
                            <a:ext cx="5334000" cy="3809999"/>
                          </a:xfrm>
                          <a:prstGeom prst="rect">
                            <a:avLst/>
                          </a:prstGeom>
                          <a:noFill/>
                          <a:ln w="9525">
                            <a:noFill/>
                            <a:headEnd/>
                            <a:tailEnd/>
                          </a:ln>
                        </pic:spPr>
                      </pic:pic>
                    </a:graphicData>
                  </a:graphic>
                </wp:inline>
              </w:drawing>
            </w:r>
          </w:p>
          <w:bookmarkEnd w:id="80"/>
        </w:tc>
      </w:tr>
    </w:tbl>
    <w:tbl>
      <w:tblPr>
        <w:tblStyle w:val="Table"/>
        <w:tblW w:type="pct" w:w="5000"/>
        <w:tblLayout w:type="fixed"/>
        <w:tblLook w:firstRow="0" w:lastRow="0" w:firstColumn="0" w:lastColumn="0" w:noHBand="0" w:noVBand="0" w:val="0000"/>
      </w:tblPr>
      <w:tblGrid>
        <w:gridCol w:w="7920"/>
      </w:tblGrid>
      <w:tr>
        <w:tc>
          <w:tcPr/>
          <w:bookmarkStart w:id="84" w:name="fig-dist"/>
          <w:p>
            <w:pPr>
              <w:jc w:val="center"/>
            </w:pPr>
            <w:pPr>
              <w:jc w:val="start"/>
              <w:spacing w:before="200"/>
              <w:pStyle w:val="ImageCaption"/>
            </w:pPr>
            <w:r>
              <w:t xml:space="preserve">Figure 14: #3 Variable: Combined z-score distance</w:t>
            </w:r>
          </w:p>
          <w:p>
            <w:pPr>
              <w:pStyle w:val="Compact"/>
              <w:jc w:val="center"/>
            </w:pPr>
            <w:r>
              <w:drawing>
                <wp:inline>
                  <wp:extent cx="5334000" cy="3809999"/>
                  <wp:effectExtent b="0" l="0" r="0" t="0"/>
                  <wp:docPr descr="" title="" id="82" name="Picture"/>
                  <a:graphic>
                    <a:graphicData uri="http://schemas.openxmlformats.org/drawingml/2006/picture">
                      <pic:pic>
                        <pic:nvPicPr>
                          <pic:cNvPr descr="Deeper-Dive-into-vH4-model--quarto-_files/figure-docx/fig-dist-1.png" id="83" name="Picture"/>
                          <pic:cNvPicPr>
                            <a:picLocks noChangeArrowheads="1" noChangeAspect="1"/>
                          </pic:cNvPicPr>
                        </pic:nvPicPr>
                        <pic:blipFill>
                          <a:blip r:embed="rId81"/>
                          <a:stretch>
                            <a:fillRect/>
                          </a:stretch>
                        </pic:blipFill>
                        <pic:spPr bwMode="auto">
                          <a:xfrm>
                            <a:off x="0" y="0"/>
                            <a:ext cx="5334000" cy="3809999"/>
                          </a:xfrm>
                          <a:prstGeom prst="rect">
                            <a:avLst/>
                          </a:prstGeom>
                          <a:noFill/>
                          <a:ln w="9525">
                            <a:noFill/>
                            <a:headEnd/>
                            <a:tailEnd/>
                          </a:ln>
                        </pic:spPr>
                      </pic:pic>
                    </a:graphicData>
                  </a:graphic>
                </wp:inline>
              </w:drawing>
            </w:r>
          </w:p>
          <w:bookmarkEnd w:id="84"/>
        </w:tc>
      </w:tr>
    </w:tbl>
    <w:tbl>
      <w:tblPr>
        <w:tblStyle w:val="Table"/>
        <w:tblW w:type="pct" w:w="5000"/>
        <w:tblLayout w:type="fixed"/>
        <w:tblLook w:firstRow="0" w:lastRow="0" w:firstColumn="0" w:lastColumn="0" w:noHBand="0" w:noVBand="0" w:val="0000"/>
      </w:tblPr>
      <w:tblGrid>
        <w:gridCol w:w="7920"/>
      </w:tblGrid>
      <w:tr>
        <w:tc>
          <w:tcPr/>
          <w:bookmarkStart w:id="88" w:name="fig-act_z"/>
          <w:p>
            <w:pPr>
              <w:jc w:val="center"/>
            </w:pPr>
            <w:pPr>
              <w:jc w:val="start"/>
              <w:spacing w:before="200"/>
              <w:pStyle w:val="ImageCaption"/>
            </w:pPr>
            <w:r>
              <w:t xml:space="preserve">Figure 15: #4 Variable: ACT Math z-score</w:t>
            </w:r>
          </w:p>
          <w:p>
            <w:pPr>
              <w:pStyle w:val="Compact"/>
              <w:jc w:val="center"/>
            </w:pPr>
            <w:r>
              <w:drawing>
                <wp:inline>
                  <wp:extent cx="5334000" cy="3809999"/>
                  <wp:effectExtent b="0" l="0" r="0" t="0"/>
                  <wp:docPr descr="" title="" id="86" name="Picture"/>
                  <a:graphic>
                    <a:graphicData uri="http://schemas.openxmlformats.org/drawingml/2006/picture">
                      <pic:pic>
                        <pic:nvPicPr>
                          <pic:cNvPr descr="Deeper-Dive-into-vH4-model--quarto-_files/figure-docx/fig-act_z-1.png" id="87" name="Picture"/>
                          <pic:cNvPicPr>
                            <a:picLocks noChangeArrowheads="1" noChangeAspect="1"/>
                          </pic:cNvPicPr>
                        </pic:nvPicPr>
                        <pic:blipFill>
                          <a:blip r:embed="rId85"/>
                          <a:stretch>
                            <a:fillRect/>
                          </a:stretch>
                        </pic:blipFill>
                        <pic:spPr bwMode="auto">
                          <a:xfrm>
                            <a:off x="0" y="0"/>
                            <a:ext cx="5334000" cy="3809999"/>
                          </a:xfrm>
                          <a:prstGeom prst="rect">
                            <a:avLst/>
                          </a:prstGeom>
                          <a:noFill/>
                          <a:ln w="9525">
                            <a:noFill/>
                            <a:headEnd/>
                            <a:tailEnd/>
                          </a:ln>
                        </pic:spPr>
                      </pic:pic>
                    </a:graphicData>
                  </a:graphic>
                </wp:inline>
              </w:drawing>
            </w:r>
          </w:p>
          <w:bookmarkEnd w:id="88"/>
        </w:tc>
      </w:tr>
    </w:tbl>
    <w:tbl>
      <w:tblPr>
        <w:tblStyle w:val="Table"/>
        <w:tblW w:type="pct" w:w="5000"/>
        <w:tblLayout w:type="fixed"/>
        <w:tblLook w:firstRow="0" w:lastRow="0" w:firstColumn="0" w:lastColumn="0" w:noHBand="0" w:noVBand="0" w:val="0000"/>
      </w:tblPr>
      <w:tblGrid>
        <w:gridCol w:w="7920"/>
      </w:tblGrid>
      <w:tr>
        <w:tc>
          <w:tcPr/>
          <w:bookmarkStart w:id="92" w:name="fig-act"/>
          <w:p>
            <w:pPr>
              <w:jc w:val="center"/>
            </w:pPr>
            <w:pPr>
              <w:jc w:val="start"/>
              <w:spacing w:before="200"/>
              <w:pStyle w:val="ImageCaption"/>
            </w:pPr>
            <w:r>
              <w:t xml:space="preserve">Figure 16: #5 Variable: ACT Math</w:t>
            </w:r>
          </w:p>
          <w:p>
            <w:pPr>
              <w:pStyle w:val="Compact"/>
              <w:jc w:val="center"/>
            </w:pPr>
            <w:r>
              <w:drawing>
                <wp:inline>
                  <wp:extent cx="5334000" cy="3809999"/>
                  <wp:effectExtent b="0" l="0" r="0" t="0"/>
                  <wp:docPr descr="" title="" id="90" name="Picture"/>
                  <a:graphic>
                    <a:graphicData uri="http://schemas.openxmlformats.org/drawingml/2006/picture">
                      <pic:pic>
                        <pic:nvPicPr>
                          <pic:cNvPr descr="Deeper-Dive-into-vH4-model--quarto-_files/figure-docx/fig-act-1.png" id="91" name="Picture"/>
                          <pic:cNvPicPr>
                            <a:picLocks noChangeArrowheads="1" noChangeAspect="1"/>
                          </pic:cNvPicPr>
                        </pic:nvPicPr>
                        <pic:blipFill>
                          <a:blip r:embed="rId89"/>
                          <a:stretch>
                            <a:fillRect/>
                          </a:stretch>
                        </pic:blipFill>
                        <pic:spPr bwMode="auto">
                          <a:xfrm>
                            <a:off x="0" y="0"/>
                            <a:ext cx="5334000" cy="3809999"/>
                          </a:xfrm>
                          <a:prstGeom prst="rect">
                            <a:avLst/>
                          </a:prstGeom>
                          <a:noFill/>
                          <a:ln w="9525">
                            <a:noFill/>
                            <a:headEnd/>
                            <a:tailEnd/>
                          </a:ln>
                        </pic:spPr>
                      </pic:pic>
                    </a:graphicData>
                  </a:graphic>
                </wp:inline>
              </w:drawing>
            </w:r>
          </w:p>
          <w:bookmarkEnd w:id="92"/>
        </w:tc>
      </w:tr>
    </w:tbl>
    <w:tbl>
      <w:tblPr>
        <w:tblStyle w:val="Table"/>
        <w:tblW w:type="pct" w:w="5000"/>
        <w:tblLayout w:type="fixed"/>
        <w:tblLook w:firstRow="0" w:lastRow="0" w:firstColumn="0" w:lastColumn="0" w:noHBand="0" w:noVBand="0" w:val="0000"/>
      </w:tblPr>
      <w:tblGrid>
        <w:gridCol w:w="7920"/>
      </w:tblGrid>
      <w:tr>
        <w:tc>
          <w:tcPr/>
          <w:bookmarkStart w:id="96" w:name="fig-yr_diff"/>
          <w:p>
            <w:pPr>
              <w:jc w:val="center"/>
            </w:pPr>
            <w:pPr>
              <w:jc w:val="start"/>
              <w:spacing w:before="200"/>
              <w:pStyle w:val="ImageCaption"/>
            </w:pPr>
            <w:r>
              <w:t xml:space="preserve">Figure 17: #6 Variable: Years to initial math course</w:t>
            </w:r>
          </w:p>
          <w:p>
            <w:pPr>
              <w:pStyle w:val="Compact"/>
              <w:jc w:val="center"/>
            </w:pPr>
            <w:r>
              <w:drawing>
                <wp:inline>
                  <wp:extent cx="5334000" cy="3809999"/>
                  <wp:effectExtent b="0" l="0" r="0" t="0"/>
                  <wp:docPr descr="" title="" id="94" name="Picture"/>
                  <a:graphic>
                    <a:graphicData uri="http://schemas.openxmlformats.org/drawingml/2006/picture">
                      <pic:pic>
                        <pic:nvPicPr>
                          <pic:cNvPr descr="Deeper-Dive-into-vH4-model--quarto-_files/figure-docx/fig-yr_diff-1.png" id="95" name="Picture"/>
                          <pic:cNvPicPr>
                            <a:picLocks noChangeArrowheads="1" noChangeAspect="1"/>
                          </pic:cNvPicPr>
                        </pic:nvPicPr>
                        <pic:blipFill>
                          <a:blip r:embed="rId93"/>
                          <a:stretch>
                            <a:fillRect/>
                          </a:stretch>
                        </pic:blipFill>
                        <pic:spPr bwMode="auto">
                          <a:xfrm>
                            <a:off x="0" y="0"/>
                            <a:ext cx="5334000" cy="3809999"/>
                          </a:xfrm>
                          <a:prstGeom prst="rect">
                            <a:avLst/>
                          </a:prstGeom>
                          <a:noFill/>
                          <a:ln w="9525">
                            <a:noFill/>
                            <a:headEnd/>
                            <a:tailEnd/>
                          </a:ln>
                        </pic:spPr>
                      </pic:pic>
                    </a:graphicData>
                  </a:graphic>
                </wp:inline>
              </w:drawing>
            </w:r>
          </w:p>
          <w:bookmarkEnd w:id="96"/>
        </w:tc>
      </w:tr>
    </w:tbl>
    <w:p>
      <w:pPr>
        <w:pStyle w:val="BodyText"/>
      </w:pPr>
      <w:r>
        <w:t xml:space="preserve">There is a small tendency for people who fail to take the initial math course after the first year. (Most students (89% in 2024) take their initial math course in the first year.)</w:t>
      </w:r>
    </w:p>
    <w:bookmarkEnd w:id="97"/>
    <w:bookmarkEnd w:id="98"/>
    <w:bookmarkStart w:id="104" w:name="references"/>
    <w:p>
      <w:pPr>
        <w:pStyle w:val="Heading1"/>
      </w:pPr>
      <w:r>
        <w:t xml:space="preserve">REFERENCES</w:t>
      </w:r>
    </w:p>
    <w:tbl>
      <w:tblPr>
        <w:tblStyle w:val="Table"/>
        <w:tblW w:type="pct" w:w="5000"/>
        <w:tblLayout w:type="fixed"/>
        <w:tblLook w:firstRow="0" w:lastRow="0" w:firstColumn="0" w:lastColumn="0" w:noHBand="0" w:noVBand="0" w:val="0000"/>
      </w:tblPr>
      <w:tblGrid>
        <w:gridCol w:w="7920"/>
      </w:tblGrid>
      <w:tr>
        <w:tc>
          <w:tcPr/>
          <w:bookmarkStart w:id="102" w:name="fig-guide"/>
          <w:p>
            <w:pPr>
              <w:jc w:val="center"/>
            </w:pPr>
            <w:pPr>
              <w:jc w:val="start"/>
              <w:spacing w:before="200"/>
              <w:pStyle w:val="ImageCaption"/>
            </w:pPr>
            <w:r>
              <w:t xml:space="preserve">Figure 18: How to interpret a confusion matrix</w:t>
            </w:r>
          </w:p>
          <w:p>
            <w:pPr>
              <w:pStyle w:val="Compact"/>
              <w:jc w:val="center"/>
            </w:pPr>
            <w:r>
              <w:drawing>
                <wp:inline>
                  <wp:extent cx="5334000" cy="3809999"/>
                  <wp:effectExtent b="0" l="0" r="0" t="0"/>
                  <wp:docPr descr="" title="" id="100" name="Picture"/>
                  <a:graphic>
                    <a:graphicData uri="http://schemas.openxmlformats.org/drawingml/2006/picture">
                      <pic:pic>
                        <pic:nvPicPr>
                          <pic:cNvPr descr="Deeper-Dive-into-vH4-model--quarto-_files/figure-docx/fig-guide-1.png" id="101" name="Picture"/>
                          <pic:cNvPicPr>
                            <a:picLocks noChangeArrowheads="1" noChangeAspect="1"/>
                          </pic:cNvPicPr>
                        </pic:nvPicPr>
                        <pic:blipFill>
                          <a:blip r:embed="rId99"/>
                          <a:stretch>
                            <a:fillRect/>
                          </a:stretch>
                        </pic:blipFill>
                        <pic:spPr bwMode="auto">
                          <a:xfrm>
                            <a:off x="0" y="0"/>
                            <a:ext cx="5334000" cy="3809999"/>
                          </a:xfrm>
                          <a:prstGeom prst="rect">
                            <a:avLst/>
                          </a:prstGeom>
                          <a:noFill/>
                          <a:ln w="9525">
                            <a:noFill/>
                            <a:headEnd/>
                            <a:tailEnd/>
                          </a:ln>
                        </pic:spPr>
                      </pic:pic>
                    </a:graphicData>
                  </a:graphic>
                </wp:inline>
              </w:drawing>
            </w:r>
          </w:p>
          <w:bookmarkEnd w:id="102"/>
        </w:tc>
      </w:tr>
    </w:tbl>
    <w:bookmarkStart w:id="103" w:name="training-data"/>
    <w:p>
      <w:pPr>
        <w:pStyle w:val="Heading2"/>
      </w:pPr>
      <w:r>
        <w:t xml:space="preserve">Training data</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data_list[[</w:t>
            </w:r>
            <w:r>
              <w:t xml:space="preserve">“GRADEGPA”</w:t>
            </w:r>
            <w:r>
              <w:t xml:space="preserve">]][[…</w:t>
            </w:r>
          </w:p>
        </w:tc>
      </w:tr>
      <w:tr>
        <w:tc>
          <w:tcPr/>
          <w:p>
            <w:pPr>
              <w:pStyle w:val="Compact"/>
              <w:jc w:val="left"/>
            </w:pPr>
            <w:r>
              <w:t xml:space="preserve">Number of rows</w:t>
            </w:r>
          </w:p>
        </w:tc>
        <w:tc>
          <w:tcPr/>
          <w:p>
            <w:pPr>
              <w:pStyle w:val="Compact"/>
              <w:jc w:val="left"/>
            </w:pPr>
            <w:r>
              <w:t xml:space="preserve">36924</w:t>
            </w:r>
          </w:p>
        </w:tc>
      </w:tr>
      <w:tr>
        <w:tc>
          <w:tcPr/>
          <w:p>
            <w:pPr>
              <w:pStyle w:val="Compact"/>
              <w:jc w:val="left"/>
            </w:pPr>
            <w:r>
              <w:t xml:space="preserve">Number of columns</w:t>
            </w:r>
          </w:p>
        </w:tc>
        <w:tc>
          <w:tcPr/>
          <w:p>
            <w:pPr>
              <w:pStyle w:val="Compact"/>
              <w:jc w:val="left"/>
            </w:pPr>
            <w:r>
              <w:t xml:space="preserve">24</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5</w:t>
            </w:r>
          </w:p>
        </w:tc>
      </w:tr>
      <w:tr>
        <w:tc>
          <w:tcPr/>
          <w:p>
            <w:pPr>
              <w:pStyle w:val="Compact"/>
              <w:jc w:val="left"/>
            </w:pPr>
            <w:r>
              <w:t xml:space="preserve">factor</w:t>
            </w:r>
          </w:p>
        </w:tc>
        <w:tc>
          <w:tcPr/>
          <w:p>
            <w:pPr>
              <w:pStyle w:val="Compact"/>
              <w:jc w:val="left"/>
            </w:pPr>
            <w:r>
              <w:t xml:space="preserve">3</w:t>
            </w:r>
          </w:p>
        </w:tc>
      </w:tr>
      <w:tr>
        <w:tc>
          <w:tcPr/>
          <w:p>
            <w:pPr>
              <w:pStyle w:val="Compact"/>
              <w:jc w:val="left"/>
            </w:pPr>
            <w:r>
              <w:t xml:space="preserve">numeric</w:t>
            </w:r>
          </w:p>
        </w:tc>
        <w:tc>
          <w:tcPr/>
          <w:p>
            <w:pPr>
              <w:pStyle w:val="Compact"/>
              <w:jc w:val="left"/>
            </w:pPr>
            <w:r>
              <w:t xml:space="preserve">16</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2030"/>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SEX</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FIRST_GEN_STATUS_CD</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RESSTAT</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HSPRIVATE</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season</w:t>
            </w:r>
          </w:p>
        </w:tc>
        <w:tc>
          <w:tcPr/>
          <w:p>
            <w:pPr>
              <w:pStyle w:val="Compact"/>
              <w:jc w:val="right"/>
            </w:pPr>
            <w:r>
              <w:t xml:space="preserve">0</w:t>
            </w:r>
          </w:p>
        </w:tc>
        <w:tc>
          <w:tcPr/>
          <w:p>
            <w:pPr>
              <w:pStyle w:val="Compact"/>
              <w:jc w:val="right"/>
            </w:pPr>
            <w:r>
              <w:t xml:space="preserve">1</w:t>
            </w:r>
          </w:p>
        </w:tc>
        <w:tc>
          <w:tcPr/>
          <w:p>
            <w:pPr>
              <w:pStyle w:val="Compact"/>
              <w:jc w:val="right"/>
            </w:pPr>
            <w:r>
              <w:t xml:space="preserve">4</w:t>
            </w:r>
          </w:p>
        </w:tc>
        <w:tc>
          <w:tcPr/>
          <w:p>
            <w:pPr>
              <w:pStyle w:val="Compact"/>
              <w:jc w:val="right"/>
            </w:pPr>
            <w:r>
              <w:t xml:space="preserve">6</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r>
    </w:tbl>
    <w:p>
      <w:pPr>
        <w:pStyle w:val="BodyText"/>
      </w:pPr>
      <w:r>
        <w:rPr>
          <w:b/>
          <w:bCs/>
        </w:rPr>
        <w:t xml:space="preserve">Variable type: factor</w:t>
      </w:r>
    </w:p>
    <w:tbl>
      <w:tblPr>
        <w:tblStyle w:val="Table"/>
        <w:tblW w:type="pct" w:w="5000"/>
        <w:tblLayout w:type="fixed"/>
        <w:tblLook w:firstRow="1" w:lastRow="0" w:firstColumn="0" w:lastColumn="0" w:noHBand="0" w:noVBand="0" w:val="0020"/>
      </w:tblPr>
      <w:tblGrid>
        <w:gridCol w:w="1120"/>
        <w:gridCol w:w="800"/>
        <w:gridCol w:w="1120"/>
        <w:gridCol w:w="640"/>
        <w:gridCol w:w="720"/>
        <w:gridCol w:w="3520"/>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left"/>
            </w:pPr>
            <w:r>
              <w:t xml:space="preserve">ordered</w:t>
            </w:r>
          </w:p>
        </w:tc>
        <w:tc>
          <w:tcPr/>
          <w:p>
            <w:pPr>
              <w:pStyle w:val="Compact"/>
              <w:jc w:val="right"/>
            </w:pPr>
            <w:r>
              <w:t xml:space="preserve">n_unique</w:t>
            </w:r>
          </w:p>
        </w:tc>
        <w:tc>
          <w:tcPr/>
          <w:p>
            <w:pPr>
              <w:pStyle w:val="Compact"/>
              <w:jc w:val="left"/>
            </w:pPr>
            <w:r>
              <w:t xml:space="preserve">top_counts</w:t>
            </w:r>
          </w:p>
        </w:tc>
      </w:tr>
      <w:tr>
        <w:tc>
          <w:tcPr/>
          <w:p>
            <w:pPr>
              <w:pStyle w:val="Compact"/>
              <w:jc w:val="left"/>
            </w:pPr>
            <w:r>
              <w:t xml:space="preserve">course</w:t>
            </w:r>
          </w:p>
        </w:tc>
        <w:tc>
          <w:tcPr/>
          <w:p>
            <w:pPr>
              <w:pStyle w:val="Compact"/>
              <w:jc w:val="right"/>
            </w:pPr>
            <w:r>
              <w:t xml:space="preserve">0</w:t>
            </w:r>
          </w:p>
        </w:tc>
        <w:tc>
          <w:tcPr/>
          <w:p>
            <w:pPr>
              <w:pStyle w:val="Compact"/>
              <w:jc w:val="right"/>
            </w:pPr>
            <w:r>
              <w:t xml:space="preserve">1</w:t>
            </w:r>
          </w:p>
        </w:tc>
        <w:tc>
          <w:tcPr/>
          <w:p>
            <w:pPr>
              <w:pStyle w:val="Compact"/>
              <w:jc w:val="left"/>
            </w:pPr>
            <w:r>
              <w:t xml:space="preserve">FALSE</w:t>
            </w:r>
          </w:p>
        </w:tc>
        <w:tc>
          <w:tcPr/>
          <w:p>
            <w:pPr>
              <w:pStyle w:val="Compact"/>
              <w:jc w:val="right"/>
            </w:pPr>
            <w:r>
              <w:t xml:space="preserve">25</w:t>
            </w:r>
          </w:p>
        </w:tc>
        <w:tc>
          <w:tcPr/>
          <w:p>
            <w:pPr>
              <w:pStyle w:val="Compact"/>
              <w:jc w:val="left"/>
            </w:pPr>
            <w:r>
              <w:t xml:space="preserve">MAT: 8834, MAT: 6020, MAT: 4829, MAT: 3293</w:t>
            </w:r>
          </w:p>
        </w:tc>
      </w:tr>
      <w:tr>
        <w:tc>
          <w:tcPr/>
          <w:p>
            <w:pPr>
              <w:pStyle w:val="Compact"/>
              <w:jc w:val="left"/>
            </w:pPr>
            <w:r>
              <w:t xml:space="preserve">ETHNICITY</w:t>
            </w:r>
          </w:p>
        </w:tc>
        <w:tc>
          <w:tcPr/>
          <w:p>
            <w:pPr>
              <w:pStyle w:val="Compact"/>
              <w:jc w:val="right"/>
            </w:pPr>
            <w:r>
              <w:t xml:space="preserve">0</w:t>
            </w:r>
          </w:p>
        </w:tc>
        <w:tc>
          <w:tcPr/>
          <w:p>
            <w:pPr>
              <w:pStyle w:val="Compact"/>
              <w:jc w:val="right"/>
            </w:pPr>
            <w:r>
              <w:t xml:space="preserve">1</w:t>
            </w:r>
          </w:p>
        </w:tc>
        <w:tc>
          <w:tcPr/>
          <w:p>
            <w:pPr>
              <w:pStyle w:val="Compact"/>
              <w:jc w:val="left"/>
            </w:pPr>
            <w:r>
              <w:t xml:space="preserve">FALSE</w:t>
            </w:r>
          </w:p>
        </w:tc>
        <w:tc>
          <w:tcPr/>
          <w:p>
            <w:pPr>
              <w:pStyle w:val="Compact"/>
              <w:jc w:val="right"/>
            </w:pPr>
            <w:r>
              <w:t xml:space="preserve">9</w:t>
            </w:r>
          </w:p>
        </w:tc>
        <w:tc>
          <w:tcPr/>
          <w:p>
            <w:pPr>
              <w:pStyle w:val="Compact"/>
              <w:jc w:val="left"/>
            </w:pPr>
            <w:r>
              <w:t xml:space="preserve">C: 26581, H: 4549, A: 2647, M: 1744</w:t>
            </w:r>
          </w:p>
        </w:tc>
      </w:tr>
      <w:tr>
        <w:tc>
          <w:tcPr/>
          <w:p>
            <w:pPr>
              <w:pStyle w:val="Compact"/>
              <w:jc w:val="left"/>
            </w:pPr>
            <w:r>
              <w:t xml:space="preserve">age_cut</w:t>
            </w:r>
          </w:p>
        </w:tc>
        <w:tc>
          <w:tcPr/>
          <w:p>
            <w:pPr>
              <w:pStyle w:val="Compact"/>
              <w:jc w:val="right"/>
            </w:pPr>
            <w:r>
              <w:t xml:space="preserve">0</w:t>
            </w:r>
          </w:p>
        </w:tc>
        <w:tc>
          <w:tcPr/>
          <w:p>
            <w:pPr>
              <w:pStyle w:val="Compact"/>
              <w:jc w:val="right"/>
            </w:pPr>
            <w:r>
              <w:t xml:space="preserve">1</w:t>
            </w:r>
          </w:p>
        </w:tc>
        <w:tc>
          <w:tcPr/>
          <w:p>
            <w:pPr>
              <w:pStyle w:val="Compact"/>
              <w:jc w:val="left"/>
            </w:pPr>
            <w:r>
              <w:t xml:space="preserve">FALSE</w:t>
            </w:r>
          </w:p>
        </w:tc>
        <w:tc>
          <w:tcPr/>
          <w:p>
            <w:pPr>
              <w:pStyle w:val="Compact"/>
              <w:jc w:val="right"/>
            </w:pPr>
            <w:r>
              <w:t xml:space="preserve">5</w:t>
            </w:r>
          </w:p>
        </w:tc>
        <w:tc>
          <w:tcPr/>
          <w:p>
            <w:pPr>
              <w:pStyle w:val="Compact"/>
              <w:jc w:val="left"/>
            </w:pPr>
            <w:r>
              <w:t xml:space="preserve">(17: 30141, (18: 3150, (19: 1843, (0,: 1494</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808"/>
        <w:gridCol w:w="1131"/>
        <w:gridCol w:w="646"/>
        <w:gridCol w:w="484"/>
        <w:gridCol w:w="646"/>
        <w:gridCol w:w="646"/>
        <w:gridCol w:w="646"/>
        <w:gridCol w:w="646"/>
        <w:gridCol w:w="646"/>
        <w:gridCol w:w="484"/>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GRADEGPA</w:t>
            </w:r>
          </w:p>
        </w:tc>
        <w:tc>
          <w:tcPr/>
          <w:p>
            <w:pPr>
              <w:pStyle w:val="Compact"/>
              <w:jc w:val="right"/>
            </w:pPr>
            <w:r>
              <w:t xml:space="preserve">0</w:t>
            </w:r>
          </w:p>
        </w:tc>
        <w:tc>
          <w:tcPr/>
          <w:p>
            <w:pPr>
              <w:pStyle w:val="Compact"/>
              <w:jc w:val="right"/>
            </w:pPr>
            <w:r>
              <w:t xml:space="preserve">1</w:t>
            </w:r>
          </w:p>
        </w:tc>
        <w:tc>
          <w:tcPr/>
          <w:p>
            <w:pPr>
              <w:pStyle w:val="Compact"/>
              <w:jc w:val="right"/>
            </w:pPr>
            <w:r>
              <w:t xml:space="preserve">2.85</w:t>
            </w:r>
          </w:p>
        </w:tc>
        <w:tc>
          <w:tcPr/>
          <w:p>
            <w:pPr>
              <w:pStyle w:val="Compact"/>
              <w:jc w:val="right"/>
            </w:pPr>
            <w:r>
              <w:t xml:space="preserve">1.22</w:t>
            </w:r>
          </w:p>
        </w:tc>
        <w:tc>
          <w:tcPr/>
          <w:p>
            <w:pPr>
              <w:pStyle w:val="Compact"/>
              <w:jc w:val="right"/>
            </w:pPr>
            <w:r>
              <w:t xml:space="preserve">0.00</w:t>
            </w:r>
          </w:p>
        </w:tc>
        <w:tc>
          <w:tcPr/>
          <w:p>
            <w:pPr>
              <w:pStyle w:val="Compact"/>
              <w:jc w:val="right"/>
            </w:pPr>
            <w:r>
              <w:t xml:space="preserve">2.00</w:t>
            </w:r>
          </w:p>
        </w:tc>
        <w:tc>
          <w:tcPr/>
          <w:p>
            <w:pPr>
              <w:pStyle w:val="Compact"/>
              <w:jc w:val="right"/>
            </w:pPr>
            <w:r>
              <w:t xml:space="preserve">3.30</w:t>
            </w:r>
          </w:p>
        </w:tc>
        <w:tc>
          <w:tcPr/>
          <w:p>
            <w:pPr>
              <w:pStyle w:val="Compact"/>
              <w:jc w:val="right"/>
            </w:pPr>
            <w:r>
              <w:t xml:space="preserve">4.00</w:t>
            </w:r>
          </w:p>
        </w:tc>
        <w:tc>
          <w:tcPr/>
          <w:p>
            <w:pPr>
              <w:pStyle w:val="Compact"/>
              <w:jc w:val="right"/>
            </w:pPr>
            <w:r>
              <w:t xml:space="preserve">4.00</w:t>
            </w:r>
          </w:p>
        </w:tc>
        <w:tc>
          <w:tcPr/>
          <w:p>
            <w:pPr>
              <w:pStyle w:val="Compact"/>
              <w:jc w:val="left"/>
            </w:pPr>
            <w:r>
              <w:t xml:space="preserve">▂▁▂▃▇</w:t>
            </w:r>
          </w:p>
        </w:tc>
      </w:tr>
      <w:tr>
        <w:tc>
          <w:tcPr/>
          <w:p>
            <w:pPr>
              <w:pStyle w:val="Compact"/>
              <w:jc w:val="left"/>
            </w:pPr>
            <w:r>
              <w:t xml:space="preserve">FA_PELL</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0.22</w:t>
            </w:r>
          </w:p>
        </w:tc>
        <w:tc>
          <w:tcPr/>
          <w:p>
            <w:pPr>
              <w:pStyle w:val="Compact"/>
              <w:jc w:val="right"/>
            </w:pPr>
            <w:r>
              <w:t xml:space="preserve">0.41</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1.00</w:t>
            </w:r>
          </w:p>
        </w:tc>
        <w:tc>
          <w:tcPr/>
          <w:p>
            <w:pPr>
              <w:pStyle w:val="Compact"/>
              <w:jc w:val="left"/>
            </w:pPr>
            <w:r>
              <w:t xml:space="preserve">▇▁▁▁▂</w:t>
            </w:r>
          </w:p>
        </w:tc>
      </w:tr>
      <w:tr>
        <w:tc>
          <w:tcPr/>
          <w:p>
            <w:pPr>
              <w:pStyle w:val="Compact"/>
              <w:jc w:val="left"/>
            </w:pPr>
            <w:r>
              <w:t xml:space="preserve">APCREDIT</w:t>
            </w:r>
          </w:p>
        </w:tc>
        <w:tc>
          <w:tcPr/>
          <w:p>
            <w:pPr>
              <w:pStyle w:val="Compact"/>
              <w:jc w:val="right"/>
            </w:pPr>
            <w:r>
              <w:t xml:space="preserve">0</w:t>
            </w:r>
          </w:p>
        </w:tc>
        <w:tc>
          <w:tcPr/>
          <w:p>
            <w:pPr>
              <w:pStyle w:val="Compact"/>
              <w:jc w:val="right"/>
            </w:pPr>
            <w:r>
              <w:t xml:space="preserve">1</w:t>
            </w:r>
          </w:p>
        </w:tc>
        <w:tc>
          <w:tcPr/>
          <w:p>
            <w:pPr>
              <w:pStyle w:val="Compact"/>
              <w:jc w:val="right"/>
            </w:pPr>
            <w:r>
              <w:t xml:space="preserve">7.25</w:t>
            </w:r>
          </w:p>
        </w:tc>
        <w:tc>
          <w:tcPr/>
          <w:p>
            <w:pPr>
              <w:pStyle w:val="Compact"/>
              <w:jc w:val="right"/>
            </w:pPr>
            <w:r>
              <w:t xml:space="preserve">12.44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12.00</w:t>
            </w:r>
          </w:p>
        </w:tc>
        <w:tc>
          <w:tcPr/>
          <w:p>
            <w:pPr>
              <w:pStyle w:val="Compact"/>
              <w:jc w:val="right"/>
            </w:pPr>
            <w:r>
              <w:t xml:space="preserve">85.00</w:t>
            </w:r>
          </w:p>
        </w:tc>
        <w:tc>
          <w:tcPr/>
          <w:p>
            <w:pPr>
              <w:pStyle w:val="Compact"/>
              <w:jc w:val="left"/>
            </w:pPr>
            <w:r>
              <w:t xml:space="preserve">▇▁▁▁▁</w:t>
            </w:r>
          </w:p>
        </w:tc>
      </w:tr>
      <w:tr>
        <w:tc>
          <w:tcPr/>
          <w:p>
            <w:pPr>
              <w:pStyle w:val="Compact"/>
              <w:jc w:val="left"/>
            </w:pPr>
            <w:r>
              <w:t xml:space="preserve">HSGPA</w:t>
            </w:r>
          </w:p>
        </w:tc>
        <w:tc>
          <w:tcPr/>
          <w:p>
            <w:pPr>
              <w:pStyle w:val="Compact"/>
              <w:jc w:val="right"/>
            </w:pPr>
            <w:r>
              <w:t xml:space="preserve">0</w:t>
            </w:r>
          </w:p>
        </w:tc>
        <w:tc>
          <w:tcPr/>
          <w:p>
            <w:pPr>
              <w:pStyle w:val="Compact"/>
              <w:jc w:val="right"/>
            </w:pPr>
            <w:r>
              <w:t xml:space="preserve">1</w:t>
            </w:r>
          </w:p>
        </w:tc>
        <w:tc>
          <w:tcPr/>
          <w:p>
            <w:pPr>
              <w:pStyle w:val="Compact"/>
              <w:jc w:val="right"/>
            </w:pPr>
            <w:r>
              <w:t xml:space="preserve">3.62</w:t>
            </w:r>
          </w:p>
        </w:tc>
        <w:tc>
          <w:tcPr/>
          <w:p>
            <w:pPr>
              <w:pStyle w:val="Compact"/>
              <w:jc w:val="right"/>
            </w:pPr>
            <w:r>
              <w:t xml:space="preserve">0.34</w:t>
            </w:r>
          </w:p>
        </w:tc>
        <w:tc>
          <w:tcPr/>
          <w:p>
            <w:pPr>
              <w:pStyle w:val="Compact"/>
              <w:jc w:val="right"/>
            </w:pPr>
            <w:r>
              <w:t xml:space="preserve">1.07</w:t>
            </w:r>
          </w:p>
        </w:tc>
        <w:tc>
          <w:tcPr/>
          <w:p>
            <w:pPr>
              <w:pStyle w:val="Compact"/>
              <w:jc w:val="right"/>
            </w:pPr>
            <w:r>
              <w:t xml:space="preserve">3.41</w:t>
            </w:r>
          </w:p>
        </w:tc>
        <w:tc>
          <w:tcPr/>
          <w:p>
            <w:pPr>
              <w:pStyle w:val="Compact"/>
              <w:jc w:val="right"/>
            </w:pPr>
            <w:r>
              <w:t xml:space="preserve">3.71</w:t>
            </w:r>
          </w:p>
        </w:tc>
        <w:tc>
          <w:tcPr/>
          <w:p>
            <w:pPr>
              <w:pStyle w:val="Compact"/>
              <w:jc w:val="right"/>
            </w:pPr>
            <w:r>
              <w:t xml:space="preserve">3.91</w:t>
            </w:r>
          </w:p>
        </w:tc>
        <w:tc>
          <w:tcPr/>
          <w:p>
            <w:pPr>
              <w:pStyle w:val="Compact"/>
              <w:jc w:val="right"/>
            </w:pPr>
            <w:r>
              <w:t xml:space="preserve">4.42</w:t>
            </w:r>
          </w:p>
        </w:tc>
        <w:tc>
          <w:tcPr/>
          <w:p>
            <w:pPr>
              <w:pStyle w:val="Compact"/>
              <w:jc w:val="left"/>
            </w:pPr>
            <w:r>
              <w:t xml:space="preserve">▁▁▁▇▇</w:t>
            </w:r>
          </w:p>
        </w:tc>
      </w:tr>
      <w:tr>
        <w:tc>
          <w:tcPr/>
          <w:p>
            <w:pPr>
              <w:pStyle w:val="Compact"/>
              <w:jc w:val="left"/>
            </w:pPr>
            <w:r>
              <w:t xml:space="preserve">HONORS</w:t>
            </w:r>
          </w:p>
        </w:tc>
        <w:tc>
          <w:tcPr/>
          <w:p>
            <w:pPr>
              <w:pStyle w:val="Compact"/>
              <w:jc w:val="right"/>
            </w:pPr>
            <w:r>
              <w:t xml:space="preserve">0</w:t>
            </w:r>
          </w:p>
        </w:tc>
        <w:tc>
          <w:tcPr/>
          <w:p>
            <w:pPr>
              <w:pStyle w:val="Compact"/>
              <w:jc w:val="right"/>
            </w:pPr>
            <w:r>
              <w:t xml:space="preserve">1</w:t>
            </w:r>
          </w:p>
        </w:tc>
        <w:tc>
          <w:tcPr/>
          <w:p>
            <w:pPr>
              <w:pStyle w:val="Compact"/>
              <w:jc w:val="right"/>
            </w:pPr>
            <w:r>
              <w:t xml:space="preserve">0.16</w:t>
            </w:r>
          </w:p>
        </w:tc>
        <w:tc>
          <w:tcPr/>
          <w:p>
            <w:pPr>
              <w:pStyle w:val="Compact"/>
              <w:jc w:val="right"/>
            </w:pPr>
            <w:r>
              <w:t xml:space="preserve">0.37</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1.00</w:t>
            </w:r>
          </w:p>
        </w:tc>
        <w:tc>
          <w:tcPr/>
          <w:p>
            <w:pPr>
              <w:pStyle w:val="Compact"/>
              <w:jc w:val="left"/>
            </w:pPr>
            <w:r>
              <w:t xml:space="preserve">▇▁▁▁▂</w:t>
            </w:r>
          </w:p>
        </w:tc>
      </w:tr>
      <w:tr>
        <w:tc>
          <w:tcPr/>
          <w:p>
            <w:pPr>
              <w:pStyle w:val="Compact"/>
              <w:jc w:val="left"/>
            </w:pPr>
            <w:r>
              <w:t xml:space="preserve">ACTCOMP</w:t>
            </w:r>
          </w:p>
        </w:tc>
        <w:tc>
          <w:tcPr/>
          <w:p>
            <w:pPr>
              <w:pStyle w:val="Compact"/>
              <w:jc w:val="right"/>
            </w:pPr>
            <w:r>
              <w:t xml:space="preserve">0</w:t>
            </w:r>
          </w:p>
        </w:tc>
        <w:tc>
          <w:tcPr/>
          <w:p>
            <w:pPr>
              <w:pStyle w:val="Compact"/>
              <w:jc w:val="right"/>
            </w:pPr>
            <w:r>
              <w:t xml:space="preserve">1</w:t>
            </w:r>
          </w:p>
        </w:tc>
        <w:tc>
          <w:tcPr/>
          <w:p>
            <w:pPr>
              <w:pStyle w:val="Compact"/>
              <w:jc w:val="right"/>
            </w:pPr>
            <w:r>
              <w:t xml:space="preserve">25.05</w:t>
            </w:r>
          </w:p>
        </w:tc>
        <w:tc>
          <w:tcPr/>
          <w:p>
            <w:pPr>
              <w:pStyle w:val="Compact"/>
              <w:jc w:val="right"/>
            </w:pPr>
            <w:r>
              <w:t xml:space="preserve">4.33</w:t>
            </w:r>
          </w:p>
        </w:tc>
        <w:tc>
          <w:tcPr/>
          <w:p>
            <w:pPr>
              <w:pStyle w:val="Compact"/>
              <w:jc w:val="right"/>
            </w:pPr>
            <w:r>
              <w:t xml:space="preserve">11.00</w:t>
            </w:r>
          </w:p>
        </w:tc>
        <w:tc>
          <w:tcPr/>
          <w:p>
            <w:pPr>
              <w:pStyle w:val="Compact"/>
              <w:jc w:val="right"/>
            </w:pPr>
            <w:r>
              <w:t xml:space="preserve">22.00</w:t>
            </w:r>
          </w:p>
        </w:tc>
        <w:tc>
          <w:tcPr/>
          <w:p>
            <w:pPr>
              <w:pStyle w:val="Compact"/>
              <w:jc w:val="right"/>
            </w:pPr>
            <w:r>
              <w:t xml:space="preserve">25.00</w:t>
            </w:r>
          </w:p>
        </w:tc>
        <w:tc>
          <w:tcPr/>
          <w:p>
            <w:pPr>
              <w:pStyle w:val="Compact"/>
              <w:jc w:val="right"/>
            </w:pPr>
            <w:r>
              <w:t xml:space="preserve">28.00</w:t>
            </w:r>
          </w:p>
        </w:tc>
        <w:tc>
          <w:tcPr/>
          <w:p>
            <w:pPr>
              <w:pStyle w:val="Compact"/>
              <w:jc w:val="right"/>
            </w:pPr>
            <w:r>
              <w:t xml:space="preserve">36.00</w:t>
            </w:r>
          </w:p>
        </w:tc>
        <w:tc>
          <w:tcPr/>
          <w:p>
            <w:pPr>
              <w:pStyle w:val="Compact"/>
              <w:jc w:val="left"/>
            </w:pPr>
            <w:r>
              <w:t xml:space="preserve">▁▅▇▅▂</w:t>
            </w:r>
          </w:p>
        </w:tc>
      </w:tr>
      <w:tr>
        <w:tc>
          <w:tcPr/>
          <w:p>
            <w:pPr>
              <w:pStyle w:val="Compact"/>
              <w:jc w:val="left"/>
            </w:pPr>
            <w:r>
              <w:t xml:space="preserve">ACTENGL</w:t>
            </w:r>
          </w:p>
        </w:tc>
        <w:tc>
          <w:tcPr/>
          <w:p>
            <w:pPr>
              <w:pStyle w:val="Compact"/>
              <w:jc w:val="right"/>
            </w:pPr>
            <w:r>
              <w:t xml:space="preserve">0</w:t>
            </w:r>
          </w:p>
        </w:tc>
        <w:tc>
          <w:tcPr/>
          <w:p>
            <w:pPr>
              <w:pStyle w:val="Compact"/>
              <w:jc w:val="right"/>
            </w:pPr>
            <w:r>
              <w:t xml:space="preserve">1</w:t>
            </w:r>
          </w:p>
        </w:tc>
        <w:tc>
          <w:tcPr/>
          <w:p>
            <w:pPr>
              <w:pStyle w:val="Compact"/>
              <w:jc w:val="right"/>
            </w:pPr>
            <w:r>
              <w:t xml:space="preserve">24.84</w:t>
            </w:r>
          </w:p>
        </w:tc>
        <w:tc>
          <w:tcPr/>
          <w:p>
            <w:pPr>
              <w:pStyle w:val="Compact"/>
              <w:jc w:val="right"/>
            </w:pPr>
            <w:r>
              <w:t xml:space="preserve">5.28</w:t>
            </w:r>
          </w:p>
        </w:tc>
        <w:tc>
          <w:tcPr/>
          <w:p>
            <w:pPr>
              <w:pStyle w:val="Compact"/>
              <w:jc w:val="right"/>
            </w:pPr>
            <w:r>
              <w:t xml:space="preserve">7.00</w:t>
            </w:r>
          </w:p>
        </w:tc>
        <w:tc>
          <w:tcPr/>
          <w:p>
            <w:pPr>
              <w:pStyle w:val="Compact"/>
              <w:jc w:val="right"/>
            </w:pPr>
            <w:r>
              <w:t xml:space="preserve">21.00</w:t>
            </w:r>
          </w:p>
        </w:tc>
        <w:tc>
          <w:tcPr/>
          <w:p>
            <w:pPr>
              <w:pStyle w:val="Compact"/>
              <w:jc w:val="right"/>
            </w:pPr>
            <w:r>
              <w:t xml:space="preserve">24.00</w:t>
            </w:r>
          </w:p>
        </w:tc>
        <w:tc>
          <w:tcPr/>
          <w:p>
            <w:pPr>
              <w:pStyle w:val="Compact"/>
              <w:jc w:val="right"/>
            </w:pPr>
            <w:r>
              <w:t xml:space="preserve">28.00</w:t>
            </w:r>
          </w:p>
        </w:tc>
        <w:tc>
          <w:tcPr/>
          <w:p>
            <w:pPr>
              <w:pStyle w:val="Compact"/>
              <w:jc w:val="right"/>
            </w:pPr>
            <w:r>
              <w:t xml:space="preserve">36.00</w:t>
            </w:r>
          </w:p>
        </w:tc>
        <w:tc>
          <w:tcPr/>
          <w:p>
            <w:pPr>
              <w:pStyle w:val="Compact"/>
              <w:jc w:val="left"/>
            </w:pPr>
            <w:r>
              <w:t xml:space="preserve">▁▂▇▆▃</w:t>
            </w:r>
          </w:p>
        </w:tc>
      </w:tr>
      <w:tr>
        <w:tc>
          <w:tcPr/>
          <w:p>
            <w:pPr>
              <w:pStyle w:val="Compact"/>
              <w:jc w:val="left"/>
            </w:pPr>
            <w:r>
              <w:t xml:space="preserve">ACTMATH</w:t>
            </w:r>
          </w:p>
        </w:tc>
        <w:tc>
          <w:tcPr/>
          <w:p>
            <w:pPr>
              <w:pStyle w:val="Compact"/>
              <w:jc w:val="right"/>
            </w:pPr>
            <w:r>
              <w:t xml:space="preserve">0</w:t>
            </w:r>
          </w:p>
        </w:tc>
        <w:tc>
          <w:tcPr/>
          <w:p>
            <w:pPr>
              <w:pStyle w:val="Compact"/>
              <w:jc w:val="right"/>
            </w:pPr>
            <w:r>
              <w:t xml:space="preserve">1</w:t>
            </w:r>
          </w:p>
        </w:tc>
        <w:tc>
          <w:tcPr/>
          <w:p>
            <w:pPr>
              <w:pStyle w:val="Compact"/>
              <w:jc w:val="right"/>
            </w:pPr>
            <w:r>
              <w:t xml:space="preserve">24.44</w:t>
            </w:r>
          </w:p>
        </w:tc>
        <w:tc>
          <w:tcPr/>
          <w:p>
            <w:pPr>
              <w:pStyle w:val="Compact"/>
              <w:jc w:val="right"/>
            </w:pPr>
            <w:r>
              <w:t xml:space="preserve">4.59</w:t>
            </w:r>
          </w:p>
        </w:tc>
        <w:tc>
          <w:tcPr/>
          <w:p>
            <w:pPr>
              <w:pStyle w:val="Compact"/>
              <w:jc w:val="right"/>
            </w:pPr>
            <w:r>
              <w:t xml:space="preserve">1.00</w:t>
            </w:r>
          </w:p>
        </w:tc>
        <w:tc>
          <w:tcPr/>
          <w:p>
            <w:pPr>
              <w:pStyle w:val="Compact"/>
              <w:jc w:val="right"/>
            </w:pPr>
            <w:r>
              <w:t xml:space="preserve">21.00</w:t>
            </w:r>
          </w:p>
        </w:tc>
        <w:tc>
          <w:tcPr/>
          <w:p>
            <w:pPr>
              <w:pStyle w:val="Compact"/>
              <w:jc w:val="right"/>
            </w:pPr>
            <w:r>
              <w:t xml:space="preserve">24.00</w:t>
            </w:r>
          </w:p>
        </w:tc>
        <w:tc>
          <w:tcPr/>
          <w:p>
            <w:pPr>
              <w:pStyle w:val="Compact"/>
              <w:jc w:val="right"/>
            </w:pPr>
            <w:r>
              <w:t xml:space="preserve">27.00</w:t>
            </w:r>
          </w:p>
        </w:tc>
        <w:tc>
          <w:tcPr/>
          <w:p>
            <w:pPr>
              <w:pStyle w:val="Compact"/>
              <w:jc w:val="right"/>
            </w:pPr>
            <w:r>
              <w:t xml:space="preserve">36.00</w:t>
            </w:r>
          </w:p>
        </w:tc>
        <w:tc>
          <w:tcPr/>
          <w:p>
            <w:pPr>
              <w:pStyle w:val="Compact"/>
              <w:jc w:val="left"/>
            </w:pPr>
            <w:r>
              <w:t xml:space="preserve">▁▁▅▇▂</w:t>
            </w:r>
          </w:p>
        </w:tc>
      </w:tr>
      <w:tr>
        <w:tc>
          <w:tcPr/>
          <w:p>
            <w:pPr>
              <w:pStyle w:val="Compact"/>
              <w:jc w:val="left"/>
            </w:pPr>
            <w:r>
              <w:t xml:space="preserve">ACTSCI</w:t>
            </w:r>
          </w:p>
        </w:tc>
        <w:tc>
          <w:tcPr/>
          <w:p>
            <w:pPr>
              <w:pStyle w:val="Compact"/>
              <w:jc w:val="right"/>
            </w:pPr>
            <w:r>
              <w:t xml:space="preserve">0</w:t>
            </w:r>
          </w:p>
        </w:tc>
        <w:tc>
          <w:tcPr/>
          <w:p>
            <w:pPr>
              <w:pStyle w:val="Compact"/>
              <w:jc w:val="right"/>
            </w:pPr>
            <w:r>
              <w:t xml:space="preserve">1</w:t>
            </w:r>
          </w:p>
        </w:tc>
        <w:tc>
          <w:tcPr/>
          <w:p>
            <w:pPr>
              <w:pStyle w:val="Compact"/>
              <w:jc w:val="right"/>
            </w:pPr>
            <w:r>
              <w:t xml:space="preserve">24.95</w:t>
            </w:r>
          </w:p>
        </w:tc>
        <w:tc>
          <w:tcPr/>
          <w:p>
            <w:pPr>
              <w:pStyle w:val="Compact"/>
              <w:jc w:val="right"/>
            </w:pPr>
            <w:r>
              <w:t xml:space="preserve">4.55</w:t>
            </w:r>
          </w:p>
        </w:tc>
        <w:tc>
          <w:tcPr/>
          <w:p>
            <w:pPr>
              <w:pStyle w:val="Compact"/>
              <w:jc w:val="right"/>
            </w:pPr>
            <w:r>
              <w:t xml:space="preserve">2.00</w:t>
            </w:r>
          </w:p>
        </w:tc>
        <w:tc>
          <w:tcPr/>
          <w:p>
            <w:pPr>
              <w:pStyle w:val="Compact"/>
              <w:jc w:val="right"/>
            </w:pPr>
            <w:r>
              <w:t xml:space="preserve">22.00</w:t>
            </w:r>
          </w:p>
        </w:tc>
        <w:tc>
          <w:tcPr/>
          <w:p>
            <w:pPr>
              <w:pStyle w:val="Compact"/>
              <w:jc w:val="right"/>
            </w:pPr>
            <w:r>
              <w:t xml:space="preserve">24.00</w:t>
            </w:r>
          </w:p>
        </w:tc>
        <w:tc>
          <w:tcPr/>
          <w:p>
            <w:pPr>
              <w:pStyle w:val="Compact"/>
              <w:jc w:val="right"/>
            </w:pPr>
            <w:r>
              <w:t xml:space="preserve">28.00</w:t>
            </w:r>
          </w:p>
        </w:tc>
        <w:tc>
          <w:tcPr/>
          <w:p>
            <w:pPr>
              <w:pStyle w:val="Compact"/>
              <w:jc w:val="right"/>
            </w:pPr>
            <w:r>
              <w:t xml:space="preserve">36.00</w:t>
            </w:r>
          </w:p>
        </w:tc>
        <w:tc>
          <w:tcPr/>
          <w:p>
            <w:pPr>
              <w:pStyle w:val="Compact"/>
              <w:jc w:val="left"/>
            </w:pPr>
            <w:r>
              <w:t xml:space="preserve">▁▁▅▇▂</w:t>
            </w:r>
          </w:p>
        </w:tc>
      </w:tr>
      <w:tr>
        <w:tc>
          <w:tcPr/>
          <w:p>
            <w:pPr>
              <w:pStyle w:val="Compact"/>
              <w:jc w:val="left"/>
            </w:pPr>
            <w:r>
              <w:t xml:space="preserve">cohort_year</w:t>
            </w:r>
          </w:p>
        </w:tc>
        <w:tc>
          <w:tcPr/>
          <w:p>
            <w:pPr>
              <w:pStyle w:val="Compact"/>
              <w:jc w:val="right"/>
            </w:pPr>
            <w:r>
              <w:t xml:space="preserve">0</w:t>
            </w:r>
          </w:p>
        </w:tc>
        <w:tc>
          <w:tcPr/>
          <w:p>
            <w:pPr>
              <w:pStyle w:val="Compact"/>
              <w:jc w:val="right"/>
            </w:pPr>
            <w:r>
              <w:t xml:space="preserve">1</w:t>
            </w:r>
          </w:p>
        </w:tc>
        <w:tc>
          <w:tcPr/>
          <w:p>
            <w:pPr>
              <w:pStyle w:val="Compact"/>
              <w:jc w:val="right"/>
            </w:pPr>
            <w:r>
              <w:t xml:space="preserve">2014.59</w:t>
            </w:r>
          </w:p>
        </w:tc>
        <w:tc>
          <w:tcPr/>
          <w:p>
            <w:pPr>
              <w:pStyle w:val="Compact"/>
              <w:jc w:val="right"/>
            </w:pPr>
            <w:r>
              <w:t xml:space="preserve">5.08</w:t>
            </w:r>
          </w:p>
        </w:tc>
        <w:tc>
          <w:tcPr/>
          <w:p>
            <w:pPr>
              <w:pStyle w:val="Compact"/>
              <w:jc w:val="right"/>
            </w:pPr>
            <w:r>
              <w:t xml:space="preserve">2005.00</w:t>
            </w:r>
          </w:p>
        </w:tc>
        <w:tc>
          <w:tcPr/>
          <w:p>
            <w:pPr>
              <w:pStyle w:val="Compact"/>
              <w:jc w:val="right"/>
            </w:pPr>
            <w:r>
              <w:t xml:space="preserve">2010.00</w:t>
            </w:r>
          </w:p>
        </w:tc>
        <w:tc>
          <w:tcPr/>
          <w:p>
            <w:pPr>
              <w:pStyle w:val="Compact"/>
              <w:jc w:val="right"/>
            </w:pPr>
            <w:r>
              <w:t xml:space="preserve">2015.00</w:t>
            </w:r>
          </w:p>
        </w:tc>
        <w:tc>
          <w:tcPr/>
          <w:p>
            <w:pPr>
              <w:pStyle w:val="Compact"/>
              <w:jc w:val="right"/>
            </w:pPr>
            <w:r>
              <w:t xml:space="preserve">2019.00</w:t>
            </w:r>
          </w:p>
        </w:tc>
        <w:tc>
          <w:tcPr/>
          <w:p>
            <w:pPr>
              <w:pStyle w:val="Compact"/>
              <w:jc w:val="right"/>
            </w:pPr>
            <w:r>
              <w:t xml:space="preserve">2023.00</w:t>
            </w:r>
          </w:p>
        </w:tc>
        <w:tc>
          <w:tcPr/>
          <w:p>
            <w:pPr>
              <w:pStyle w:val="Compact"/>
              <w:jc w:val="left"/>
            </w:pPr>
            <w:r>
              <w:t xml:space="preserve">▅▆▅▇▆</w:t>
            </w:r>
          </w:p>
        </w:tc>
      </w:tr>
      <w:tr>
        <w:tc>
          <w:tcPr/>
          <w:p>
            <w:pPr>
              <w:pStyle w:val="Compact"/>
              <w:jc w:val="left"/>
            </w:pPr>
            <w:r>
              <w:t xml:space="preserve">class_year</w:t>
            </w:r>
          </w:p>
        </w:tc>
        <w:tc>
          <w:tcPr/>
          <w:p>
            <w:pPr>
              <w:pStyle w:val="Compact"/>
              <w:jc w:val="right"/>
            </w:pPr>
            <w:r>
              <w:t xml:space="preserve">0</w:t>
            </w:r>
          </w:p>
        </w:tc>
        <w:tc>
          <w:tcPr/>
          <w:p>
            <w:pPr>
              <w:pStyle w:val="Compact"/>
              <w:jc w:val="right"/>
            </w:pPr>
            <w:r>
              <w:t xml:space="preserve">1</w:t>
            </w:r>
          </w:p>
        </w:tc>
        <w:tc>
          <w:tcPr/>
          <w:p>
            <w:pPr>
              <w:pStyle w:val="Compact"/>
              <w:jc w:val="right"/>
            </w:pPr>
            <w:r>
              <w:t xml:space="preserve">2014.96</w:t>
            </w:r>
          </w:p>
        </w:tc>
        <w:tc>
          <w:tcPr/>
          <w:p>
            <w:pPr>
              <w:pStyle w:val="Compact"/>
              <w:jc w:val="right"/>
            </w:pPr>
            <w:r>
              <w:t xml:space="preserve">4.99</w:t>
            </w:r>
          </w:p>
        </w:tc>
        <w:tc>
          <w:tcPr/>
          <w:p>
            <w:pPr>
              <w:pStyle w:val="Compact"/>
              <w:jc w:val="right"/>
            </w:pPr>
            <w:r>
              <w:t xml:space="preserve">2006.00</w:t>
            </w:r>
          </w:p>
        </w:tc>
        <w:tc>
          <w:tcPr/>
          <w:p>
            <w:pPr>
              <w:pStyle w:val="Compact"/>
              <w:jc w:val="right"/>
            </w:pPr>
            <w:r>
              <w:t xml:space="preserve">2011.00</w:t>
            </w:r>
          </w:p>
        </w:tc>
        <w:tc>
          <w:tcPr/>
          <w:p>
            <w:pPr>
              <w:pStyle w:val="Compact"/>
              <w:jc w:val="right"/>
            </w:pPr>
            <w:r>
              <w:t xml:space="preserve">2015.00</w:t>
            </w:r>
          </w:p>
        </w:tc>
        <w:tc>
          <w:tcPr/>
          <w:p>
            <w:pPr>
              <w:pStyle w:val="Compact"/>
              <w:jc w:val="right"/>
            </w:pPr>
            <w:r>
              <w:t xml:space="preserve">2019.00</w:t>
            </w:r>
          </w:p>
        </w:tc>
        <w:tc>
          <w:tcPr/>
          <w:p>
            <w:pPr>
              <w:pStyle w:val="Compact"/>
              <w:jc w:val="right"/>
            </w:pPr>
            <w:r>
              <w:t xml:space="preserve">2023.00</w:t>
            </w:r>
          </w:p>
        </w:tc>
        <w:tc>
          <w:tcPr/>
          <w:p>
            <w:pPr>
              <w:pStyle w:val="Compact"/>
              <w:jc w:val="left"/>
            </w:pPr>
            <w:r>
              <w:t xml:space="preserve">▆▆▇▇▇</w:t>
            </w:r>
          </w:p>
        </w:tc>
      </w:tr>
      <w:tr>
        <w:tc>
          <w:tcPr/>
          <w:p>
            <w:pPr>
              <w:pStyle w:val="Compact"/>
              <w:jc w:val="left"/>
            </w:pPr>
            <w:r>
              <w:t xml:space="preserve">yr_diff</w:t>
            </w:r>
          </w:p>
        </w:tc>
        <w:tc>
          <w:tcPr/>
          <w:p>
            <w:pPr>
              <w:pStyle w:val="Compact"/>
              <w:jc w:val="right"/>
            </w:pPr>
            <w:r>
              <w:t xml:space="preserve">0</w:t>
            </w:r>
          </w:p>
        </w:tc>
        <w:tc>
          <w:tcPr/>
          <w:p>
            <w:pPr>
              <w:pStyle w:val="Compact"/>
              <w:jc w:val="right"/>
            </w:pPr>
            <w:r>
              <w:t xml:space="preserve">1</w:t>
            </w:r>
          </w:p>
        </w:tc>
        <w:tc>
          <w:tcPr/>
          <w:p>
            <w:pPr>
              <w:pStyle w:val="Compact"/>
              <w:jc w:val="right"/>
            </w:pPr>
            <w:r>
              <w:t xml:space="preserve">0.50</w:t>
            </w:r>
          </w:p>
        </w:tc>
        <w:tc>
          <w:tcPr/>
          <w:p>
            <w:pPr>
              <w:pStyle w:val="Compact"/>
              <w:jc w:val="right"/>
            </w:pPr>
            <w:r>
              <w:t xml:space="preserve">0.79</w:t>
            </w:r>
          </w:p>
        </w:tc>
        <w:tc>
          <w:tcPr/>
          <w:p>
            <w:pPr>
              <w:pStyle w:val="Compact"/>
              <w:jc w:val="right"/>
            </w:pPr>
            <w:r>
              <w:t xml:space="preserve">-0.40</w:t>
            </w:r>
          </w:p>
        </w:tc>
        <w:tc>
          <w:tcPr/>
          <w:p>
            <w:pPr>
              <w:pStyle w:val="Compact"/>
              <w:jc w:val="right"/>
            </w:pPr>
            <w:r>
              <w:t xml:space="preserve">0.24</w:t>
            </w:r>
          </w:p>
        </w:tc>
        <w:tc>
          <w:tcPr/>
          <w:p>
            <w:pPr>
              <w:pStyle w:val="Compact"/>
              <w:jc w:val="right"/>
            </w:pPr>
            <w:r>
              <w:t xml:space="preserve">0.26</w:t>
            </w:r>
          </w:p>
        </w:tc>
        <w:tc>
          <w:tcPr/>
          <w:p>
            <w:pPr>
              <w:pStyle w:val="Compact"/>
              <w:jc w:val="right"/>
            </w:pPr>
            <w:r>
              <w:t xml:space="preserve">0.26</w:t>
            </w:r>
          </w:p>
        </w:tc>
        <w:tc>
          <w:tcPr/>
          <w:p>
            <w:pPr>
              <w:pStyle w:val="Compact"/>
              <w:jc w:val="right"/>
            </w:pPr>
            <w:r>
              <w:t xml:space="preserve">16.64</w:t>
            </w:r>
          </w:p>
        </w:tc>
        <w:tc>
          <w:tcPr/>
          <w:p>
            <w:pPr>
              <w:pStyle w:val="Compact"/>
              <w:jc w:val="left"/>
            </w:pPr>
            <w:r>
              <w:t xml:space="preserve">▇▁▁▁▁</w:t>
            </w:r>
          </w:p>
        </w:tc>
      </w:tr>
      <w:tr>
        <w:tc>
          <w:tcPr/>
          <w:p>
            <w:pPr>
              <w:pStyle w:val="Compact"/>
              <w:jc w:val="left"/>
            </w:pPr>
            <w:r>
              <w:t xml:space="preserve">course_level</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1.03</w:t>
            </w:r>
          </w:p>
        </w:tc>
        <w:tc>
          <w:tcPr/>
          <w:p>
            <w:pPr>
              <w:pStyle w:val="Compact"/>
              <w:jc w:val="right"/>
            </w:pPr>
            <w:r>
              <w:t xml:space="preserve">0.17</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2.00</w:t>
            </w:r>
          </w:p>
        </w:tc>
        <w:tc>
          <w:tcPr/>
          <w:p>
            <w:pPr>
              <w:pStyle w:val="Compact"/>
              <w:jc w:val="left"/>
            </w:pPr>
            <w:r>
              <w:t xml:space="preserve">▇▁▁▁▁</w:t>
            </w:r>
          </w:p>
        </w:tc>
      </w:tr>
      <w:tr>
        <w:tc>
          <w:tcPr/>
          <w:p>
            <w:pPr>
              <w:pStyle w:val="Compact"/>
              <w:jc w:val="left"/>
            </w:pPr>
            <w:r>
              <w:t xml:space="preserve">HSGPA.z</w:t>
            </w:r>
          </w:p>
        </w:tc>
        <w:tc>
          <w:tcPr/>
          <w:p>
            <w:pPr>
              <w:pStyle w:val="Compact"/>
              <w:jc w:val="right"/>
            </w:pPr>
            <w:r>
              <w:t xml:space="preserve">0</w:t>
            </w:r>
          </w:p>
        </w:tc>
        <w:tc>
          <w:tcPr/>
          <w:p>
            <w:pPr>
              <w:pStyle w:val="Compact"/>
              <w:jc w:val="right"/>
            </w:pPr>
            <w:r>
              <w:t xml:space="preserve">1</w:t>
            </w:r>
          </w:p>
        </w:tc>
        <w:tc>
          <w:tcPr/>
          <w:p>
            <w:pPr>
              <w:pStyle w:val="Compact"/>
              <w:jc w:val="right"/>
            </w:pPr>
            <w:r>
              <w:t xml:space="preserve">-0.53</w:t>
            </w:r>
          </w:p>
        </w:tc>
        <w:tc>
          <w:tcPr/>
          <w:p>
            <w:pPr>
              <w:pStyle w:val="Compact"/>
              <w:jc w:val="right"/>
            </w:pPr>
            <w:r>
              <w:t xml:space="preserve">1.21</w:t>
            </w:r>
          </w:p>
        </w:tc>
        <w:tc>
          <w:tcPr/>
          <w:p>
            <w:pPr>
              <w:pStyle w:val="Compact"/>
              <w:jc w:val="right"/>
            </w:pPr>
            <w:r>
              <w:t xml:space="preserve">-42.07</w:t>
            </w:r>
          </w:p>
        </w:tc>
        <w:tc>
          <w:tcPr/>
          <w:p>
            <w:pPr>
              <w:pStyle w:val="Compact"/>
              <w:jc w:val="right"/>
            </w:pPr>
            <w:r>
              <w:t xml:space="preserve">-1.16</w:t>
            </w:r>
          </w:p>
        </w:tc>
        <w:tc>
          <w:tcPr/>
          <w:p>
            <w:pPr>
              <w:pStyle w:val="Compact"/>
              <w:jc w:val="right"/>
            </w:pPr>
            <w:r>
              <w:t xml:space="preserve">-0.23</w:t>
            </w:r>
          </w:p>
        </w:tc>
        <w:tc>
          <w:tcPr/>
          <w:p>
            <w:pPr>
              <w:pStyle w:val="Compact"/>
              <w:jc w:val="right"/>
            </w:pPr>
            <w:r>
              <w:t xml:space="preserve">0.32</w:t>
            </w:r>
          </w:p>
        </w:tc>
        <w:tc>
          <w:tcPr/>
          <w:p>
            <w:pPr>
              <w:pStyle w:val="Compact"/>
              <w:jc w:val="right"/>
            </w:pPr>
            <w:r>
              <w:t xml:space="preserve">2.01</w:t>
            </w:r>
          </w:p>
        </w:tc>
        <w:tc>
          <w:tcPr/>
          <w:p>
            <w:pPr>
              <w:pStyle w:val="Compact"/>
              <w:jc w:val="left"/>
            </w:pPr>
            <w:r>
              <w:t xml:space="preserve">▁▁▁▁▇</w:t>
            </w:r>
          </w:p>
        </w:tc>
      </w:tr>
      <w:tr>
        <w:tc>
          <w:tcPr/>
          <w:p>
            <w:pPr>
              <w:pStyle w:val="Compact"/>
              <w:jc w:val="left"/>
            </w:pPr>
            <w:r>
              <w:t xml:space="preserve">ACTMATH.z</w:t>
            </w:r>
          </w:p>
        </w:tc>
        <w:tc>
          <w:tcPr/>
          <w:p>
            <w:pPr>
              <w:pStyle w:val="Compact"/>
              <w:jc w:val="right"/>
            </w:pPr>
            <w:r>
              <w:t xml:space="preserve">0</w:t>
            </w:r>
          </w:p>
        </w:tc>
        <w:tc>
          <w:tcPr/>
          <w:p>
            <w:pPr>
              <w:pStyle w:val="Compact"/>
              <w:jc w:val="right"/>
            </w:pPr>
            <w:r>
              <w:t xml:space="preserve">1</w:t>
            </w:r>
          </w:p>
        </w:tc>
        <w:tc>
          <w:tcPr/>
          <w:p>
            <w:pPr>
              <w:pStyle w:val="Compact"/>
              <w:jc w:val="right"/>
            </w:pPr>
            <w:r>
              <w:t xml:space="preserve">-0.13</w:t>
            </w:r>
          </w:p>
        </w:tc>
        <w:tc>
          <w:tcPr/>
          <w:p>
            <w:pPr>
              <w:pStyle w:val="Compact"/>
              <w:jc w:val="right"/>
            </w:pPr>
            <w:r>
              <w:t xml:space="preserve">1.12</w:t>
            </w:r>
          </w:p>
        </w:tc>
        <w:tc>
          <w:tcPr/>
          <w:p>
            <w:pPr>
              <w:pStyle w:val="Compact"/>
              <w:jc w:val="right"/>
            </w:pPr>
            <w:r>
              <w:t xml:space="preserve">-10.00</w:t>
            </w:r>
          </w:p>
        </w:tc>
        <w:tc>
          <w:tcPr/>
          <w:p>
            <w:pPr>
              <w:pStyle w:val="Compact"/>
              <w:jc w:val="right"/>
            </w:pPr>
            <w:r>
              <w:t xml:space="preserve">-0.79</w:t>
            </w:r>
          </w:p>
        </w:tc>
        <w:tc>
          <w:tcPr/>
          <w:p>
            <w:pPr>
              <w:pStyle w:val="Compact"/>
              <w:jc w:val="right"/>
            </w:pPr>
            <w:r>
              <w:t xml:space="preserve">0.00</w:t>
            </w:r>
          </w:p>
        </w:tc>
        <w:tc>
          <w:tcPr/>
          <w:p>
            <w:pPr>
              <w:pStyle w:val="Compact"/>
              <w:jc w:val="right"/>
            </w:pPr>
            <w:r>
              <w:t xml:space="preserve">0.49</w:t>
            </w:r>
          </w:p>
        </w:tc>
        <w:tc>
          <w:tcPr/>
          <w:p>
            <w:pPr>
              <w:pStyle w:val="Compact"/>
              <w:jc w:val="right"/>
            </w:pPr>
            <w:r>
              <w:t xml:space="preserve">6.93</w:t>
            </w:r>
          </w:p>
        </w:tc>
        <w:tc>
          <w:tcPr/>
          <w:p>
            <w:pPr>
              <w:pStyle w:val="Compact"/>
              <w:jc w:val="left"/>
            </w:pPr>
            <w:r>
              <w:t xml:space="preserve">▁▁▇▅▁</w:t>
            </w:r>
          </w:p>
        </w:tc>
      </w:tr>
      <w:tr>
        <w:tc>
          <w:tcPr/>
          <w:p>
            <w:pPr>
              <w:pStyle w:val="Compact"/>
              <w:jc w:val="left"/>
            </w:pPr>
            <w:r>
              <w:t xml:space="preserve">dist</w:t>
            </w:r>
          </w:p>
        </w:tc>
        <w:tc>
          <w:tcPr/>
          <w:p>
            <w:pPr>
              <w:pStyle w:val="Compact"/>
              <w:jc w:val="right"/>
            </w:pPr>
            <w:r>
              <w:t xml:space="preserve">0</w:t>
            </w:r>
          </w:p>
        </w:tc>
        <w:tc>
          <w:tcPr/>
          <w:p>
            <w:pPr>
              <w:pStyle w:val="Compact"/>
              <w:jc w:val="right"/>
            </w:pPr>
            <w:r>
              <w:t xml:space="preserve">1</w:t>
            </w:r>
          </w:p>
        </w:tc>
        <w:tc>
          <w:tcPr/>
          <w:p>
            <w:pPr>
              <w:pStyle w:val="Compact"/>
              <w:jc w:val="right"/>
            </w:pPr>
            <w:r>
              <w:t xml:space="preserve">1.41</w:t>
            </w:r>
          </w:p>
        </w:tc>
        <w:tc>
          <w:tcPr/>
          <w:p>
            <w:pPr>
              <w:pStyle w:val="Compact"/>
              <w:jc w:val="right"/>
            </w:pPr>
            <w:r>
              <w:t xml:space="preserve">1.01</w:t>
            </w:r>
          </w:p>
        </w:tc>
        <w:tc>
          <w:tcPr/>
          <w:p>
            <w:pPr>
              <w:pStyle w:val="Compact"/>
              <w:jc w:val="right"/>
            </w:pPr>
            <w:r>
              <w:t xml:space="preserve">0.00</w:t>
            </w:r>
          </w:p>
        </w:tc>
        <w:tc>
          <w:tcPr/>
          <w:p>
            <w:pPr>
              <w:pStyle w:val="Compact"/>
              <w:jc w:val="right"/>
            </w:pPr>
            <w:r>
              <w:t xml:space="preserve">0.72</w:t>
            </w:r>
          </w:p>
        </w:tc>
        <w:tc>
          <w:tcPr/>
          <w:p>
            <w:pPr>
              <w:pStyle w:val="Compact"/>
              <w:jc w:val="right"/>
            </w:pPr>
            <w:r>
              <w:t xml:space="preserve">1.18</w:t>
            </w:r>
          </w:p>
        </w:tc>
        <w:tc>
          <w:tcPr/>
          <w:p>
            <w:pPr>
              <w:pStyle w:val="Compact"/>
              <w:jc w:val="right"/>
            </w:pPr>
            <w:r>
              <w:t xml:space="preserve">1.86</w:t>
            </w:r>
          </w:p>
        </w:tc>
        <w:tc>
          <w:tcPr/>
          <w:p>
            <w:pPr>
              <w:pStyle w:val="Compact"/>
              <w:jc w:val="right"/>
            </w:pPr>
            <w:r>
              <w:t xml:space="preserve">42.07</w:t>
            </w:r>
          </w:p>
        </w:tc>
        <w:tc>
          <w:tcPr/>
          <w:p>
            <w:pPr>
              <w:pStyle w:val="Compact"/>
              <w:jc w:val="left"/>
            </w:pPr>
            <w:r>
              <w:t xml:space="preserve">▇▁▁▁▁</w:t>
            </w:r>
          </w:p>
        </w:tc>
      </w:tr>
    </w:tbl>
    <w:p>
      <w:r>
        <w:pict>
          <v:rect style="width:0;height:1.5pt" o:hralign="center" o:hrstd="t" o:hr="t"/>
        </w:pict>
      </w:r>
    </w:p>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Anderson, N. H., &amp; Butzin, C. A. 1974. Performance = motivation X ability: An integration-theoretical analysis. Journal of Personality and Social Psychology, 30(5): 598–604.</w:t>
      </w:r>
      <w:r>
        <w:t xml:space="preserve"> </w:t>
      </w:r>
      <w:hyperlink r:id="rId22">
        <w:r>
          <w:rPr>
            <w:rStyle w:val="Hyperlink"/>
          </w:rPr>
          <w:t xml:space="preserve">https://doi.org/10.1037/h0037447</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9" Target="media/rId89.png" /><Relationship Type="http://schemas.openxmlformats.org/officeDocument/2006/relationships/image" Id="rId85" Target="media/rId85.png" /><Relationship Type="http://schemas.openxmlformats.org/officeDocument/2006/relationships/image" Id="rId47" Target="media/rId47.png" /><Relationship Type="http://schemas.openxmlformats.org/officeDocument/2006/relationships/image" Id="rId35" Target="media/rId35.png" /><Relationship Type="http://schemas.openxmlformats.org/officeDocument/2006/relationships/image" Id="rId81" Target="media/rId81.png" /><Relationship Type="http://schemas.openxmlformats.org/officeDocument/2006/relationships/image" Id="rId60" Target="media/rId60.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99" Target="media/rId99.png" /><Relationship Type="http://schemas.openxmlformats.org/officeDocument/2006/relationships/image" Id="rId39" Target="media/rId39.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26" Target="media/rId26.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31" Target="media/rId31.png" /><Relationship Type="http://schemas.openxmlformats.org/officeDocument/2006/relationships/image" Id="rId43" Target="media/rId43.png" /><Relationship Type="http://schemas.openxmlformats.org/officeDocument/2006/relationships/image" Id="rId93" Target="media/rId93.png" /><Relationship Type="http://schemas.openxmlformats.org/officeDocument/2006/relationships/hyperlink" Id="rId22" Target="https://doi.org/10.1037/h0037447" TargetMode="External" /></Relationships>
</file>

<file path=word/_rels/footnotes.xml.rels><?xml version="1.0" encoding="UTF-8"?><Relationships xmlns="http://schemas.openxmlformats.org/package/2006/relationships"><Relationship Type="http://schemas.openxmlformats.org/officeDocument/2006/relationships/hyperlink" Id="rId22" Target="https://doi.org/10.1037/h00374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Deeper Dive into vH4 (quarto)</dc:title>
  <dc:creator/>
  <cp:keywords/>
  <dcterms:created xsi:type="dcterms:W3CDTF">2026-02-27T22:03:51Z</dcterms:created>
  <dcterms:modified xsi:type="dcterms:W3CDTF">2026-02-27T22:03:51Z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knitr">
    <vt:lpwstr/>
  </property>
  <property fmtid="{D5CDD505-2E9C-101B-9397-08002B2CF9AE}" pid="9" name="labels">
    <vt:lpwstr/>
  </property>
  <property fmtid="{D5CDD505-2E9C-101B-9397-08002B2CF9AE}" pid="10" name="toc-title">
    <vt:lpwstr>Table of contents</vt:lpwstr>
  </property>
</Properties>
</file>