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Montserrat" w:hAnsi="Montserrat"/>
          <w:b/>
          <w:i w:val="0"/>
          <w:color w:val="0F172A"/>
          <w:sz w:val="36"/>
        </w:rPr>
        <w:t>ACADEMIC PROJECT REPORT: CHAPTER 3 &amp; CHAPTER 4</w:t>
      </w:r>
    </w:p>
    <w:p>
      <w:pPr>
        <w:keepNext/>
        <w:spacing w:line="300" w:lineRule="auto" w:before="400" w:after="160"/>
        <w:jc w:val="center"/>
      </w:pPr>
      <w:r>
        <w:rPr>
          <w:rFonts w:ascii="Montserrat" w:hAnsi="Montserrat"/>
          <w:b/>
          <w:i w:val="0"/>
          <w:color w:val="1E2E81"/>
          <w:sz w:val="30"/>
        </w:rPr>
        <w:t>CHAPTER 3: METHODOLOGY</w:t>
      </w:r>
    </w:p>
    <w:p>
      <w:pPr>
        <w:keepNext/>
        <w:spacing w:line="300" w:lineRule="auto" w:before="280" w:after="120"/>
        <w:jc w:val="left"/>
      </w:pPr>
      <w:r>
        <w:rPr>
          <w:rFonts w:ascii="Montserrat" w:hAnsi="Montserrat"/>
          <w:b/>
          <w:i w:val="0"/>
          <w:color w:val="4F46E5"/>
          <w:sz w:val="24"/>
        </w:rPr>
        <w:t>3.1 Research Design &amp; Architectural Framework</w:t>
      </w:r>
    </w:p>
    <w:p>
      <w:pPr>
        <w:spacing w:line="300" w:lineRule="auto" w:before="0" w:after="160"/>
        <w:jc w:val="both"/>
      </w:pPr>
      <w:r>
        <w:rPr>
          <w:rFonts w:ascii="Times New Roman" w:hAnsi="Times New Roman"/>
          <w:b w:val="0"/>
          <w:i w:val="0"/>
          <w:color w:val="0F172A"/>
          <w:sz w:val="22"/>
        </w:rPr>
        <w:t>The implementation of the Chronic Kidney Disease (CKD) diagnostic application is grounded in a hybrid architectural framework. It combines clinical-guideline heuristics with advanced machine learning classification to maximize diagnostic accuracy, safety, and clinical utility. Medical systems must maintain strict accountability. The system employs deterministic clinical criteria for staging, while using predictive classification algorithms to detect early-stage sub-clinical risk patterns.</w:t>
      </w:r>
    </w:p>
    <w:p>
      <w:pPr>
        <w:spacing w:line="300" w:lineRule="auto" w:before="0" w:after="160"/>
        <w:jc w:val="both"/>
      </w:pPr>
      <w:r>
        <w:rPr>
          <w:rFonts w:ascii="Times New Roman" w:hAnsi="Times New Roman"/>
          <w:b w:val="0"/>
          <w:i w:val="0"/>
          <w:color w:val="0F172A"/>
          <w:sz w:val="22"/>
        </w:rPr>
        <w:t>The process flow is divided into three distinct operational layers:</w:t>
      </w:r>
    </w:p>
    <w:p>
      <w:pPr>
        <w:pStyle w:val="ListBullet"/>
        <w:spacing w:line="300" w:lineRule="auto" w:before="40" w:after="40"/>
        <w:ind w:left="576"/>
        <w:jc w:val="left"/>
      </w:pPr>
      <w:r>
        <w:rPr>
          <w:rFonts w:ascii="Times New Roman" w:hAnsi="Times New Roman"/>
          <w:b w:val="0"/>
          <w:i w:val="0"/>
          <w:color w:val="0F172A"/>
          <w:sz w:val="22"/>
        </w:rPr>
        <w:t xml:space="preserve">1. </w:t>
      </w:r>
      <w:r>
        <w:rPr>
          <w:rFonts w:ascii="Times New Roman" w:hAnsi="Times New Roman"/>
          <w:b/>
          <w:i w:val="0"/>
          <w:color w:val="0F172A"/>
          <w:sz w:val="22"/>
        </w:rPr>
        <w:t>Data Ingestion and Clinical Demographics Layer</w:t>
      </w:r>
      <w:r>
        <w:rPr>
          <w:rFonts w:ascii="Times New Roman" w:hAnsi="Times New Roman"/>
          <w:b w:val="0"/>
          <w:i w:val="0"/>
          <w:color w:val="0F172A"/>
          <w:sz w:val="22"/>
        </w:rPr>
        <w:t>: Manages patient registration, updates demographics, and collects biometric vitals and laboratory values.</w:t>
      </w:r>
    </w:p>
    <w:p>
      <w:pPr>
        <w:pStyle w:val="ListBullet"/>
        <w:spacing w:line="300" w:lineRule="auto" w:before="40" w:after="40"/>
        <w:ind w:left="576"/>
        <w:jc w:val="left"/>
      </w:pPr>
      <w:r>
        <w:rPr>
          <w:rFonts w:ascii="Times New Roman" w:hAnsi="Times New Roman"/>
          <w:b w:val="0"/>
          <w:i w:val="0"/>
          <w:color w:val="0F172A"/>
          <w:sz w:val="22"/>
        </w:rPr>
        <w:t xml:space="preserve">2. </w:t>
      </w:r>
      <w:r>
        <w:rPr>
          <w:rFonts w:ascii="Times New Roman" w:hAnsi="Times New Roman"/>
          <w:b/>
          <w:i w:val="0"/>
          <w:color w:val="0F172A"/>
          <w:sz w:val="22"/>
        </w:rPr>
        <w:t>Deterministic &amp; Predictive Diagnostic Pipeline</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Calculates the estimated Glomerular Filtration Rate (eGFR) and classifies the patient using KDIGO clinical staging (Deterministic).</w:t>
      </w:r>
    </w:p>
    <w:p>
      <w:pPr>
        <w:pStyle w:val="ListBullet"/>
        <w:spacing w:line="300" w:lineRule="auto" w:before="40" w:after="40"/>
        <w:ind w:left="576"/>
        <w:jc w:val="left"/>
      </w:pPr>
      <w:r>
        <w:rPr>
          <w:rFonts w:ascii="Times New Roman" w:hAnsi="Times New Roman"/>
          <w:b w:val="0"/>
          <w:i w:val="0"/>
          <w:color w:val="0F172A"/>
          <w:sz w:val="22"/>
        </w:rPr>
        <w:t>Executes a Decision Tree Classifier trained on real patient dataset records to identify the predictive risk of CKD (Predictive).</w:t>
      </w:r>
    </w:p>
    <w:p>
      <w:pPr>
        <w:pStyle w:val="ListBullet"/>
        <w:spacing w:line="300" w:lineRule="auto" w:before="40" w:after="40"/>
        <w:ind w:left="576"/>
        <w:jc w:val="left"/>
      </w:pPr>
      <w:r>
        <w:rPr>
          <w:rFonts w:ascii="Times New Roman" w:hAnsi="Times New Roman"/>
          <w:b w:val="0"/>
          <w:i w:val="0"/>
          <w:color w:val="0F172A"/>
          <w:sz w:val="22"/>
        </w:rPr>
        <w:t>Transmits clinical parameters, deterministic risk levels, and machine learning predictions to the Google Gemini large language model API to generate natural language clinical summaries and personalized recommendations.</w:t>
      </w:r>
    </w:p>
    <w:p>
      <w:pPr>
        <w:pStyle w:val="ListBullet"/>
        <w:spacing w:line="300" w:lineRule="auto" w:before="40" w:after="40"/>
        <w:ind w:left="576"/>
        <w:jc w:val="left"/>
      </w:pPr>
      <w:r>
        <w:rPr>
          <w:rFonts w:ascii="Times New Roman" w:hAnsi="Times New Roman"/>
          <w:b w:val="0"/>
          <w:i w:val="0"/>
          <w:color w:val="0F172A"/>
          <w:sz w:val="22"/>
        </w:rPr>
        <w:t xml:space="preserve">3. </w:t>
      </w:r>
      <w:r>
        <w:rPr>
          <w:rFonts w:ascii="Times New Roman" w:hAnsi="Times New Roman"/>
          <w:b/>
          <w:i w:val="0"/>
          <w:color w:val="0F172A"/>
          <w:sz w:val="22"/>
        </w:rPr>
        <w:t>Application &amp; Delivery Layer</w:t>
      </w:r>
      <w:r>
        <w:rPr>
          <w:rFonts w:ascii="Times New Roman" w:hAnsi="Times New Roman"/>
          <w:b w:val="0"/>
          <w:i w:val="0"/>
          <w:color w:val="0F172A"/>
          <w:sz w:val="22"/>
        </w:rPr>
        <w:t>: Delivers responsive web interfaces for clinical practitioners, supporting full patient lifecycle updates, clinical report generation, and interactive data visualization.</w:t>
      </w:r>
    </w:p>
    <w:p>
      <w:r>
        <w:br w:type="page"/>
      </w:r>
    </w:p>
    <w:p>
      <w:pPr>
        <w:keepNext/>
        <w:spacing w:line="300" w:lineRule="auto" w:before="280" w:after="120"/>
        <w:jc w:val="left"/>
      </w:pPr>
      <w:r>
        <w:rPr>
          <w:rFonts w:ascii="Montserrat" w:hAnsi="Montserrat"/>
          <w:b/>
          <w:i w:val="0"/>
          <w:color w:val="4F46E5"/>
          <w:sz w:val="24"/>
        </w:rPr>
        <w:t>3.2 Dataset Selection and Distribution</w:t>
      </w:r>
    </w:p>
    <w:p>
      <w:pPr>
        <w:spacing w:line="300" w:lineRule="auto" w:before="0" w:after="160"/>
        <w:jc w:val="both"/>
      </w:pPr>
      <w:r>
        <w:rPr>
          <w:rFonts w:ascii="Times New Roman" w:hAnsi="Times New Roman"/>
          <w:b w:val="0"/>
          <w:i w:val="0"/>
          <w:color w:val="0F172A"/>
          <w:sz w:val="22"/>
        </w:rPr>
        <w:t>The predictive model was trained on the Chronic Kidney Disease dataset from the University of California, Irvine (UCI) Machine Learning Repository. This dataset captures various clinical laboratory findings and biometric features for patients undergoing kidney disease evaluations.</w:t>
      </w:r>
    </w:p>
    <w:p>
      <w:pPr>
        <w:spacing w:line="300" w:lineRule="auto" w:before="0" w:after="160"/>
        <w:jc w:val="both"/>
      </w:pPr>
      <w:r>
        <w:rPr>
          <w:rFonts w:ascii="Times New Roman" w:hAnsi="Times New Roman"/>
          <w:b w:val="0"/>
          <w:i w:val="0"/>
          <w:color w:val="0F172A"/>
          <w:sz w:val="22"/>
        </w:rPr>
        <w:t xml:space="preserve">For this implementation, the data was partitioned into a </w:t>
      </w:r>
      <w:r>
        <w:rPr>
          <w:rFonts w:ascii="Times New Roman" w:hAnsi="Times New Roman"/>
          <w:b/>
          <w:i w:val="0"/>
          <w:color w:val="0F172A"/>
          <w:sz w:val="22"/>
        </w:rPr>
        <w:t>training dataset</w:t>
      </w:r>
      <w:r>
        <w:rPr>
          <w:rFonts w:ascii="Times New Roman" w:hAnsi="Times New Roman"/>
          <w:b w:val="0"/>
          <w:i w:val="0"/>
          <w:color w:val="0F172A"/>
          <w:sz w:val="22"/>
        </w:rPr>
        <w:t xml:space="preserve"> of 360 patient records and a </w:t>
      </w:r>
      <w:r>
        <w:rPr>
          <w:rFonts w:ascii="Times New Roman" w:hAnsi="Times New Roman"/>
          <w:b/>
          <w:i w:val="0"/>
          <w:color w:val="0F172A"/>
          <w:sz w:val="22"/>
        </w:rPr>
        <w:t>testing dataset</w:t>
      </w:r>
      <w:r>
        <w:rPr>
          <w:rFonts w:ascii="Times New Roman" w:hAnsi="Times New Roman"/>
          <w:b w:val="0"/>
          <w:i w:val="0"/>
          <w:color w:val="0F172A"/>
          <w:sz w:val="22"/>
        </w:rPr>
        <w:t xml:space="preserve"> of 40 patient records (amounting to a 90/10 split). This structure was selected to maintain a distinct, isolated test cohort to rigorously evaluate model performance on unseen, clinical inputs.</w:t>
      </w:r>
    </w:p>
    <w:p>
      <w:pPr>
        <w:keepNext/>
        <w:spacing w:line="300" w:lineRule="auto" w:before="200" w:after="80"/>
        <w:jc w:val="left"/>
      </w:pPr>
      <w:r>
        <w:rPr>
          <w:rFonts w:ascii="Times New Roman" w:hAnsi="Times New Roman"/>
          <w:b/>
          <w:i/>
          <w:color w:val="0F172A"/>
          <w:sz w:val="22"/>
        </w:rPr>
        <w:t>3.2.1 Target Class and Feature Variables</w:t>
      </w:r>
    </w:p>
    <w:p>
      <w:pPr>
        <w:spacing w:line="300" w:lineRule="auto" w:before="0" w:after="160"/>
        <w:jc w:val="both"/>
      </w:pPr>
      <w:r>
        <w:rPr>
          <w:rFonts w:ascii="Times New Roman" w:hAnsi="Times New Roman"/>
          <w:b w:val="0"/>
          <w:i w:val="0"/>
          <w:color w:val="0F172A"/>
          <w:sz w:val="22"/>
        </w:rPr>
        <w:t xml:space="preserve">The target variable is binary: </w:t>
      </w:r>
      <w:r>
        <w:rPr>
          <w:rFonts w:ascii="Consolas" w:hAnsi="Consolas"/>
          <w:b w:val="0"/>
          <w:i w:val="0"/>
          <w:color w:val="BE123C"/>
          <w:sz w:val="19"/>
        </w:rPr>
        <w:t>classification</w:t>
      </w:r>
      <w:r>
        <w:rPr>
          <w:rFonts w:ascii="Times New Roman" w:hAnsi="Times New Roman"/>
          <w:b w:val="0"/>
          <w:i w:val="0"/>
          <w:color w:val="0F172A"/>
          <w:sz w:val="22"/>
        </w:rPr>
        <w:t xml:space="preserve"> represents the diagnostic status of the patient, mapped to </w:t>
      </w:r>
      <w:r>
        <w:rPr>
          <w:rFonts w:ascii="Consolas" w:hAnsi="Consolas"/>
          <w:b w:val="0"/>
          <w:i w:val="0"/>
          <w:color w:val="BE123C"/>
          <w:sz w:val="19"/>
        </w:rPr>
        <w:t>1</w:t>
      </w:r>
      <w:r>
        <w:rPr>
          <w:rFonts w:ascii="Times New Roman" w:hAnsi="Times New Roman"/>
          <w:b w:val="0"/>
          <w:i w:val="0"/>
          <w:color w:val="0F172A"/>
          <w:sz w:val="22"/>
        </w:rPr>
        <w:t xml:space="preserve"> (CKD Detected) and </w:t>
      </w:r>
      <w:r>
        <w:rPr>
          <w:rFonts w:ascii="Consolas" w:hAnsi="Consolas"/>
          <w:b w:val="0"/>
          <w:i w:val="0"/>
          <w:color w:val="BE123C"/>
          <w:sz w:val="19"/>
        </w:rPr>
        <w:t>0</w:t>
      </w:r>
      <w:r>
        <w:rPr>
          <w:rFonts w:ascii="Times New Roman" w:hAnsi="Times New Roman"/>
          <w:b w:val="0"/>
          <w:i w:val="0"/>
          <w:color w:val="0F172A"/>
          <w:sz w:val="22"/>
        </w:rPr>
        <w:t xml:space="preserve"> (Healthy / Not CKD). The target variable distribution in the training set contains: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CKD Cases</w:t>
      </w:r>
      <w:r>
        <w:rPr>
          <w:rFonts w:ascii="Times New Roman" w:hAnsi="Times New Roman"/>
          <w:b w:val="0"/>
          <w:i w:val="0"/>
          <w:color w:val="0F172A"/>
          <w:sz w:val="22"/>
        </w:rPr>
        <w:t>: 225 records (62.5%)</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Healthy Cases</w:t>
      </w:r>
      <w:r>
        <w:rPr>
          <w:rFonts w:ascii="Times New Roman" w:hAnsi="Times New Roman"/>
          <w:b w:val="0"/>
          <w:i w:val="0"/>
          <w:color w:val="0F172A"/>
          <w:sz w:val="22"/>
        </w:rPr>
        <w:t>: 135 records (37.5%)</w:t>
      </w:r>
    </w:p>
    <w:p>
      <w:pPr>
        <w:spacing w:line="300" w:lineRule="auto" w:before="0" w:after="160"/>
        <w:jc w:val="both"/>
      </w:pPr>
      <w:r>
        <w:rPr>
          <w:rFonts w:ascii="Times New Roman" w:hAnsi="Times New Roman"/>
          <w:b w:val="0"/>
          <w:i w:val="0"/>
          <w:color w:val="0F172A"/>
          <w:sz w:val="22"/>
        </w:rPr>
        <w:t>A carefully selected subset of 14 clinical features is captured by the diagnostic engine to support both deterministic staging and predictive modeling:</w:t>
      </w:r>
    </w:p>
    <w:tbl>
      <w:tblPr>
        <w:tblW w:type="auto" w:w="0"/>
        <w:jc w:val="center"/>
        <w:tblLook w:firstColumn="1" w:firstRow="1" w:lastColumn="0" w:lastRow="0" w:noHBand="0" w:noVBand="1" w:val="04A0"/>
        <w:tblBorders>
          <w:top w:val="single" w:sz="6" w:space="0" w:color="CBD5E1"/>
          <w:bottom w:val="single" w:sz="12" w:space="0" w:color="475569"/>
          <w:left w:val="none"/>
          <w:right w:val="none"/>
          <w:insideH w:val="single" w:sz="4" w:space="0" w:color="E2E8F0"/>
          <w:insideV w:val="none"/>
        </w:tblBorders>
      </w:tblPr>
      <w:tblGrid>
        <w:gridCol w:w="1872"/>
        <w:gridCol w:w="1872"/>
        <w:gridCol w:w="1872"/>
        <w:gridCol w:w="1872"/>
        <w:gridCol w:w="1872"/>
      </w:tblGrid>
      <w:tr>
        <w:tc>
          <w:tcPr>
            <w:tcW w:type="dxa" w:w="1872"/>
            <w:tcMar>
              <w:top w:w="100" w:type="dxa"/>
              <w:bottom w:w="100" w:type="dxa"/>
              <w:left w:w="150" w:type="dxa"/>
              <w:right w:w="150" w:type="dxa"/>
            </w:tcMar>
            <w:shd w:fill="0F172A"/>
          </w:tcPr>
          <w:p>
            <w:pPr>
              <w:jc w:val="left"/>
            </w:pPr>
            <w:r>
              <w:rPr>
                <w:rFonts w:ascii="Montserrat" w:hAnsi="Montserrat"/>
                <w:b/>
                <w:i w:val="0"/>
                <w:color w:val="FFFFFF"/>
                <w:sz w:val="19"/>
              </w:rPr>
              <w:t>Feature Name</w:t>
            </w:r>
          </w:p>
        </w:tc>
        <w:tc>
          <w:tcPr>
            <w:tcW w:type="dxa" w:w="1872"/>
            <w:tcMar>
              <w:top w:w="100" w:type="dxa"/>
              <w:bottom w:w="100" w:type="dxa"/>
              <w:left w:w="150" w:type="dxa"/>
              <w:right w:w="150" w:type="dxa"/>
            </w:tcMar>
            <w:shd w:fill="0F172A"/>
          </w:tcPr>
          <w:p>
            <w:pPr>
              <w:jc w:val="left"/>
            </w:pPr>
            <w:r>
              <w:rPr>
                <w:rFonts w:ascii="Montserrat" w:hAnsi="Montserrat"/>
                <w:b/>
                <w:i w:val="0"/>
                <w:color w:val="FFFFFF"/>
                <w:sz w:val="19"/>
              </w:rPr>
              <w:t>Type</w:t>
            </w:r>
          </w:p>
        </w:tc>
        <w:tc>
          <w:tcPr>
            <w:tcW w:type="dxa" w:w="1872"/>
            <w:tcMar>
              <w:top w:w="100" w:type="dxa"/>
              <w:bottom w:w="100" w:type="dxa"/>
              <w:left w:w="150" w:type="dxa"/>
              <w:right w:w="150" w:type="dxa"/>
            </w:tcMar>
            <w:shd w:fill="0F172A"/>
          </w:tcPr>
          <w:p>
            <w:pPr>
              <w:jc w:val="left"/>
            </w:pPr>
            <w:r>
              <w:rPr>
                <w:rFonts w:ascii="Montserrat" w:hAnsi="Montserrat"/>
                <w:b/>
                <w:i w:val="0"/>
                <w:color w:val="FFFFFF"/>
                <w:sz w:val="19"/>
              </w:rPr>
              <w:t>Unit</w:t>
            </w:r>
          </w:p>
        </w:tc>
        <w:tc>
          <w:tcPr>
            <w:tcW w:type="dxa" w:w="1872"/>
            <w:tcMar>
              <w:top w:w="100" w:type="dxa"/>
              <w:bottom w:w="100" w:type="dxa"/>
              <w:left w:w="150" w:type="dxa"/>
              <w:right w:w="150" w:type="dxa"/>
            </w:tcMar>
            <w:shd w:fill="0F172A"/>
          </w:tcPr>
          <w:p>
            <w:pPr>
              <w:jc w:val="left"/>
            </w:pPr>
            <w:r>
              <w:rPr>
                <w:rFonts w:ascii="Montserrat" w:hAnsi="Montserrat"/>
                <w:b/>
                <w:i w:val="0"/>
                <w:color w:val="FFFFFF"/>
                <w:sz w:val="19"/>
              </w:rPr>
              <w:t>Description</w:t>
            </w:r>
          </w:p>
        </w:tc>
        <w:tc>
          <w:tcPr>
            <w:tcW w:type="dxa" w:w="1872"/>
            <w:tcMar>
              <w:top w:w="100" w:type="dxa"/>
              <w:bottom w:w="100" w:type="dxa"/>
              <w:left w:w="150" w:type="dxa"/>
              <w:right w:w="150" w:type="dxa"/>
            </w:tcMar>
            <w:shd w:fill="0F172A"/>
          </w:tcPr>
          <w:p>
            <w:pPr>
              <w:jc w:val="left"/>
            </w:pPr>
            <w:r>
              <w:rPr>
                <w:rFonts w:ascii="Montserrat" w:hAnsi="Montserrat"/>
                <w:b/>
                <w:i w:val="0"/>
                <w:color w:val="FFFFFF"/>
                <w:sz w:val="19"/>
              </w:rPr>
              <w:t>Clinical Significance</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Age</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Years</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Patient age in years</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Evaluated in the CKD-EPI staging equation.</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Blood Pressure</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mmHg</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Systolic / Diastolic indicator</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Standard vital linked directly to renal vascular stress.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Specific Gravity</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Urine concentration</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High Specific Gravity correlates with concentrated urine, a hallmark of renal stress.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Albumin</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Categorical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Dipstick</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Qualitative protein level (0 to 5)</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Elevated albuminuria indicates glomerular filtration barrier leakage.</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Sugar Level</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Categorical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nominal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Urine sugar level (0 to 5)</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Qualitative indicator for diabetes-associated osmotic stress.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Red Blood Cells</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Categorical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Normal/Abnormal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Hematuria indicator</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Sign of structural glomerular or tubular basement membrane damage.</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Blood Urea</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mg/dL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Urea concentration in serum</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Metabolic waste product whose retention signals clearance deficits.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Serum Creatinine</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mg/dL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Muscle breakdown byproduct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Primary endogenous biomarker for eGFR calculation.</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Sodium</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mEq/L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Electrolyte balance</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Disrupted electrolyte balance is common in progressive tubular dysfunction.</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Potassium</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mEq/L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Electrolyte balance</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Hyperkalemia risk increases severely as eGFR declines.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Hemoglobin</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g/dL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Red blood cell protein</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Evaluated as an indicator of erythropoietin (EPO) synthesis deficits.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White Blood Cell Count</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Numeric</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cells/mcL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Immune cell count</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Indicator of underlying acute/chronic interstitial nephritis or systemic inflammation.</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Hypertension</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Categorical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Yes/No</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Clinical history</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Co-morbid risk factor that damages afferent and efferent arterioles.</w:t>
            </w:r>
          </w:p>
        </w:tc>
      </w:tr>
      <w:tr>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Diabetes Mellitus</w:t>
            </w:r>
            <w:r>
              <w:rPr>
                <w:rFonts w:ascii="Times New Roman" w:hAnsi="Times New Roman"/>
                <w:b w:val="0"/>
                <w:i w:val="0"/>
                <w:color w:val="0F172A"/>
                <w:sz w:val="19"/>
              </w:rPr>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Categorical</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Yes/No</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Clinical history</w:t>
            </w:r>
          </w:p>
        </w:tc>
        <w:tc>
          <w:tcPr>
            <w:tcW w:type="dxa" w:w="1872"/>
            <w:tcMar>
              <w:top w:w="100" w:type="dxa"/>
              <w:bottom w:w="100" w:type="dxa"/>
              <w:left w:w="150" w:type="dxa"/>
              <w:right w:w="150" w:type="dxa"/>
            </w:tcMar>
          </w:tcPr>
          <w:p>
            <w:pPr>
              <w:spacing w:line="276" w:lineRule="auto"/>
              <w:jc w:val="left"/>
            </w:pPr>
            <w:r>
              <w:rPr>
                <w:rFonts w:ascii="Times New Roman" w:hAnsi="Times New Roman"/>
                <w:b w:val="0"/>
                <w:i w:val="0"/>
                <w:color w:val="0F172A"/>
                <w:sz w:val="19"/>
              </w:rPr>
              <w:t>Leading global cause of diabetic nephropathy (hyperfiltration injury).</w:t>
            </w:r>
          </w:p>
        </w:tc>
      </w:tr>
    </w:tbl>
    <w:p>
      <w:r>
        <w:br w:type="page"/>
      </w:r>
    </w:p>
    <w:p>
      <w:pPr>
        <w:keepNext/>
        <w:spacing w:line="300" w:lineRule="auto" w:before="280" w:after="120"/>
        <w:jc w:val="left"/>
      </w:pPr>
      <w:r>
        <w:rPr>
          <w:rFonts w:ascii="Montserrat" w:hAnsi="Montserrat"/>
          <w:b/>
          <w:i w:val="0"/>
          <w:color w:val="4F46E5"/>
          <w:sz w:val="24"/>
        </w:rPr>
        <w:t>3.3 Data Preprocessing and Imputation</w:t>
      </w:r>
    </w:p>
    <w:p>
      <w:pPr>
        <w:spacing w:line="300" w:lineRule="auto" w:before="0" w:after="160"/>
        <w:jc w:val="both"/>
      </w:pPr>
      <w:r>
        <w:rPr>
          <w:rFonts w:ascii="Times New Roman" w:hAnsi="Times New Roman"/>
          <w:b w:val="0"/>
          <w:i w:val="0"/>
          <w:color w:val="0F172A"/>
          <w:sz w:val="22"/>
        </w:rPr>
        <w:t>Real-world clinical datasets are frequently characterized by missing records, which can severely compromise predictive performance. To resolve this, a robust, deterministic imputation and cleaning pipeline was constructed.</w:t>
      </w:r>
    </w:p>
    <w:p>
      <w:pPr>
        <w:keepNext/>
        <w:spacing w:line="300" w:lineRule="auto" w:before="200" w:after="80"/>
        <w:jc w:val="left"/>
      </w:pPr>
      <w:r>
        <w:rPr>
          <w:rFonts w:ascii="Times New Roman" w:hAnsi="Times New Roman"/>
          <w:b/>
          <w:i/>
          <w:color w:val="0F172A"/>
          <w:sz w:val="22"/>
        </w:rPr>
        <w:t>3.3.1 Handling Missing Values</w:t>
      </w:r>
    </w:p>
    <w:p>
      <w:pPr>
        <w:spacing w:line="300" w:lineRule="auto" w:before="0" w:after="160"/>
        <w:jc w:val="both"/>
      </w:pPr>
      <w:r>
        <w:rPr>
          <w:rFonts w:ascii="Times New Roman" w:hAnsi="Times New Roman"/>
          <w:b w:val="0"/>
          <w:i w:val="0"/>
          <w:color w:val="0F172A"/>
          <w:sz w:val="22"/>
        </w:rPr>
        <w:t>Imputation parameters were learned strictly from the training dataset to prevent data leakage.</w:t>
      </w:r>
    </w:p>
    <w:p>
      <w:pPr>
        <w:pStyle w:val="ListBullet"/>
        <w:spacing w:line="300" w:lineRule="auto" w:before="40" w:after="40"/>
        <w:ind w:left="576"/>
        <w:jc w:val="left"/>
      </w:pPr>
      <w:r>
        <w:rPr>
          <w:rFonts w:ascii="Times New Roman" w:hAnsi="Times New Roman"/>
          <w:b w:val="0"/>
          <w:i w:val="0"/>
          <w:color w:val="0F172A"/>
          <w:sz w:val="22"/>
        </w:rPr>
        <w:t xml:space="preserve">1.  </w:t>
      </w:r>
      <w:r>
        <w:rPr>
          <w:rFonts w:ascii="Times New Roman" w:hAnsi="Times New Roman"/>
          <w:b/>
          <w:i w:val="0"/>
          <w:color w:val="0F172A"/>
          <w:sz w:val="22"/>
        </w:rPr>
        <w:t>Numeric Features</w:t>
      </w:r>
      <w:r>
        <w:rPr>
          <w:rFonts w:ascii="Times New Roman" w:hAnsi="Times New Roman"/>
          <w:b w:val="0"/>
          <w:i w:val="0"/>
          <w:color w:val="0F172A"/>
          <w:sz w:val="22"/>
        </w:rPr>
        <w:t xml:space="preserve">: Missing numerical fields (e.g., Blood Urea, Hemoglobin, Sodium) are imputed using the </w:t>
      </w:r>
      <w:r>
        <w:rPr>
          <w:rFonts w:ascii="Times New Roman" w:hAnsi="Times New Roman"/>
          <w:b/>
          <w:i w:val="0"/>
          <w:color w:val="0F172A"/>
          <w:sz w:val="22"/>
        </w:rPr>
        <w:t>median value</w:t>
      </w:r>
      <w:r>
        <w:rPr>
          <w:rFonts w:ascii="Times New Roman" w:hAnsi="Times New Roman"/>
          <w:b w:val="0"/>
          <w:i w:val="0"/>
          <w:color w:val="0F172A"/>
          <w:sz w:val="22"/>
        </w:rPr>
        <w:t xml:space="preserve"> of the respective cohort. Median imputation is selected over mean imputation to guard against distortion from clinical outliers.</w:t>
      </w:r>
    </w:p>
    <w:p>
      <w:pPr>
        <w:pStyle w:val="ListBullet"/>
        <w:spacing w:line="300" w:lineRule="auto" w:before="40" w:after="40"/>
        <w:ind w:left="576"/>
        <w:jc w:val="left"/>
      </w:pPr>
      <w:r>
        <w:rPr>
          <w:rFonts w:ascii="Times New Roman" w:hAnsi="Times New Roman"/>
          <w:b w:val="0"/>
          <w:i w:val="0"/>
          <w:color w:val="0F172A"/>
          <w:sz w:val="22"/>
        </w:rPr>
        <w:t xml:space="preserve">2.  </w:t>
      </w:r>
      <w:r>
        <w:rPr>
          <w:rFonts w:ascii="Times New Roman" w:hAnsi="Times New Roman"/>
          <w:b/>
          <w:i w:val="0"/>
          <w:color w:val="0F172A"/>
          <w:sz w:val="22"/>
        </w:rPr>
        <w:t>Categorical Features</w:t>
      </w:r>
      <w:r>
        <w:rPr>
          <w:rFonts w:ascii="Times New Roman" w:hAnsi="Times New Roman"/>
          <w:b w:val="0"/>
          <w:i w:val="0"/>
          <w:color w:val="0F172A"/>
          <w:sz w:val="22"/>
        </w:rPr>
        <w:t xml:space="preserve">: Missing categorical parameters (e.g., Red Blood Cells, Hypertension) are imputed using the </w:t>
      </w:r>
      <w:r>
        <w:rPr>
          <w:rFonts w:ascii="Times New Roman" w:hAnsi="Times New Roman"/>
          <w:b/>
          <w:i w:val="0"/>
          <w:color w:val="0F172A"/>
          <w:sz w:val="22"/>
        </w:rPr>
        <w:t>mode</w:t>
      </w:r>
      <w:r>
        <w:rPr>
          <w:rFonts w:ascii="Times New Roman" w:hAnsi="Times New Roman"/>
          <w:b w:val="0"/>
          <w:i w:val="0"/>
          <w:color w:val="0F172A"/>
          <w:sz w:val="22"/>
        </w:rPr>
        <w:t xml:space="preserve"> (most frequent class). If the cohort mode is unavailable, the clinical baseline standard ('no' for co-morbidities, 'normal' for RBC) is applied.</w:t>
      </w:r>
    </w:p>
    <w:p>
      <w:pPr>
        <w:keepNext/>
        <w:spacing w:line="300" w:lineRule="auto" w:before="200" w:after="80"/>
        <w:jc w:val="left"/>
      </w:pPr>
      <w:r>
        <w:rPr>
          <w:rFonts w:ascii="Times New Roman" w:hAnsi="Times New Roman"/>
          <w:b/>
          <w:i/>
          <w:color w:val="0F172A"/>
          <w:sz w:val="22"/>
        </w:rPr>
        <w:t>3.3.2 Categorical Variable Encoding</w:t>
      </w:r>
    </w:p>
    <w:p>
      <w:pPr>
        <w:spacing w:line="300" w:lineRule="auto" w:before="0" w:after="160"/>
        <w:jc w:val="both"/>
      </w:pPr>
      <w:r>
        <w:rPr>
          <w:rFonts w:ascii="Times New Roman" w:hAnsi="Times New Roman"/>
          <w:b w:val="0"/>
          <w:i w:val="0"/>
          <w:color w:val="0F172A"/>
          <w:sz w:val="22"/>
        </w:rPr>
        <w:t>Categorical string inputs are converted into binary indicator variables to comply with input requirements of scikit-learn models:</w:t>
      </w:r>
    </w:p>
    <w:p>
      <w:pPr>
        <w:pStyle w:val="ListBullet"/>
        <w:spacing w:line="300" w:lineRule="auto" w:before="40" w:after="40"/>
        <w:ind w:left="576"/>
        <w:jc w:val="left"/>
      </w:pPr>
      <w:r>
        <w:rPr>
          <w:rFonts w:ascii="Times New Roman" w:hAnsi="Times New Roman"/>
          <w:b w:val="0"/>
          <w:i w:val="0"/>
          <w:color w:val="0F172A"/>
          <w:sz w:val="22"/>
        </w:rPr>
        <w:t xml:space="preserve">  `red_blood_cells` (rbc): Mapped to `1.0` if "normal", and `0.0` if "abnormal".</w:t>
      </w:r>
    </w:p>
    <w:p>
      <w:pPr>
        <w:pStyle w:val="ListBullet"/>
        <w:spacing w:line="300" w:lineRule="auto" w:before="40" w:after="40"/>
        <w:ind w:left="576"/>
        <w:jc w:val="left"/>
      </w:pPr>
      <w:r>
        <w:rPr>
          <w:rFonts w:ascii="Times New Roman" w:hAnsi="Times New Roman"/>
          <w:b w:val="0"/>
          <w:i w:val="0"/>
          <w:color w:val="0F172A"/>
          <w:sz w:val="22"/>
        </w:rPr>
        <w:t xml:space="preserve">  `hypertension` (htn): Mapped to `1.0` if "yes", and `0.0` if "no".</w:t>
      </w:r>
    </w:p>
    <w:p>
      <w:pPr>
        <w:pStyle w:val="ListBullet"/>
        <w:spacing w:line="300" w:lineRule="auto" w:before="40" w:after="40"/>
        <w:ind w:left="576"/>
        <w:jc w:val="left"/>
      </w:pPr>
      <w:r>
        <w:rPr>
          <w:rFonts w:ascii="Times New Roman" w:hAnsi="Times New Roman"/>
          <w:b w:val="0"/>
          <w:i w:val="0"/>
          <w:color w:val="0F172A"/>
          <w:sz w:val="22"/>
        </w:rPr>
        <w:t xml:space="preserve">  `diabetes_mellitus` (dm): Mapped to `1.0` if "yes", and `0.0` if "no".</w:t>
      </w:r>
    </w:p>
    <w:p>
      <w:r>
        <w:br w:type="page"/>
      </w:r>
    </w:p>
    <w:p>
      <w:pPr>
        <w:keepNext/>
        <w:spacing w:line="300" w:lineRule="auto" w:before="280" w:after="120"/>
        <w:jc w:val="left"/>
      </w:pPr>
      <w:r>
        <w:rPr>
          <w:rFonts w:ascii="Montserrat" w:hAnsi="Montserrat"/>
          <w:b/>
          <w:i w:val="0"/>
          <w:color w:val="4F46E5"/>
          <w:sz w:val="24"/>
        </w:rPr>
        <w:t>3.4 The Diagnostic Processing Pipeline</w:t>
      </w:r>
    </w:p>
    <w:p>
      <w:pPr>
        <w:spacing w:line="300" w:lineRule="auto" w:before="0" w:after="160"/>
        <w:jc w:val="both"/>
      </w:pPr>
      <w:r>
        <w:rPr>
          <w:rFonts w:ascii="Times New Roman" w:hAnsi="Times New Roman"/>
          <w:b w:val="0"/>
          <w:i w:val="0"/>
          <w:color w:val="0F172A"/>
          <w:sz w:val="22"/>
        </w:rPr>
        <w:t>The application executes a multi-stage, sequential clinical pipeline when evaluating a patient:</w:t>
      </w:r>
    </w:p>
    <w:p>
      <w:pPr>
        <w:spacing w:line="300" w:lineRule="auto" w:before="120" w:after="120"/>
        <w:ind w:left="576"/>
        <w:jc w:val="left"/>
      </w:pPr>
      <w:r>
        <w:rPr>
          <w:rFonts w:ascii="Consolas" w:hAnsi="Consolas"/>
          <w:b w:val="0"/>
          <w:i w:val="0"/>
          <w:color w:val="BE123C"/>
          <w:sz w:val="19"/>
        </w:rPr>
        <w:t>[Patient Clinical Vitals &amp; Lab Inputs]</w:t>
        <w:br/>
        <w:t xml:space="preserve">               │</w:t>
        <w:br/>
        <w:t xml:space="preserve">               ▼</w:t>
        <w:br/>
        <w:t xml:space="preserve">   [1. Preprocessing &amp; Imputation]</w:t>
        <w:br/>
        <w:t xml:space="preserve">               │</w:t>
        <w:br/>
        <w:t xml:space="preserve">      ┌────────┴────────┐</w:t>
        <w:br/>
        <w:t xml:space="preserve">      ▼                 ▼</w:t>
        <w:br/>
        <w:t>[2. eGFR Equation]  [3. Decision Tree ML]</w:t>
        <w:br/>
        <w:t>(CKD-EPI 2021)      (Inference &amp; Confidence)</w:t>
        <w:br/>
        <w:t xml:space="preserve">      │                 │</w:t>
        <w:br/>
        <w:t xml:space="preserve">      ▼                 ▼</w:t>
        <w:br/>
        <w:t>[4. KDIGO Staging]  [5. Feature Extraction]</w:t>
        <w:br/>
        <w:t>(G1-G5 &amp; A1-A3)         │</w:t>
        <w:br/>
        <w:t xml:space="preserve">      │                 │</w:t>
        <w:br/>
        <w:t xml:space="preserve">      └────────┬────────┘</w:t>
        <w:br/>
        <w:t xml:space="preserve">               ▼</w:t>
        <w:br/>
        <w:t xml:space="preserve">    [6. Gemini AI Engine]</w:t>
        <w:br/>
        <w:t xml:space="preserve">    (Orchestration &amp; Advice)</w:t>
        <w:br/>
        <w:t xml:space="preserve">               │</w:t>
        <w:br/>
        <w:t xml:space="preserve">               ▼</w:t>
        <w:br/>
        <w:t>[PDF Report &amp; Physician View]</w:t>
      </w:r>
    </w:p>
    <w:p>
      <w:pPr>
        <w:keepNext/>
        <w:spacing w:line="300" w:lineRule="auto" w:before="200" w:after="80"/>
        <w:jc w:val="left"/>
      </w:pPr>
      <w:r>
        <w:rPr>
          <w:rFonts w:ascii="Times New Roman" w:hAnsi="Times New Roman"/>
          <w:b/>
          <w:i/>
          <w:color w:val="0F172A"/>
          <w:sz w:val="22"/>
        </w:rPr>
        <w:t>3.4.1 Deterministic eGFR and KDIGO Staging</w:t>
      </w:r>
    </w:p>
    <w:p>
      <w:pPr>
        <w:spacing w:line="300" w:lineRule="auto" w:before="0" w:after="160"/>
        <w:jc w:val="both"/>
      </w:pPr>
      <w:r>
        <w:rPr>
          <w:rFonts w:ascii="Times New Roman" w:hAnsi="Times New Roman"/>
          <w:b w:val="0"/>
          <w:i w:val="0"/>
          <w:color w:val="0F172A"/>
          <w:sz w:val="22"/>
        </w:rPr>
        <w:t xml:space="preserve">First, the engine extracts the patient's </w:t>
      </w:r>
      <w:r>
        <w:rPr>
          <w:rFonts w:ascii="Consolas" w:hAnsi="Consolas"/>
          <w:b w:val="0"/>
          <w:i w:val="0"/>
          <w:color w:val="BE123C"/>
          <w:sz w:val="19"/>
        </w:rPr>
        <w:t>serum_creatinine</w:t>
      </w:r>
      <w:r>
        <w:rPr>
          <w:rFonts w:ascii="Times New Roman" w:hAnsi="Times New Roman"/>
          <w:b w:val="0"/>
          <w:i w:val="0"/>
          <w:color w:val="0F172A"/>
          <w:sz w:val="22"/>
        </w:rPr>
        <w:t xml:space="preserve">, </w:t>
      </w:r>
      <w:r>
        <w:rPr>
          <w:rFonts w:ascii="Consolas" w:hAnsi="Consolas"/>
          <w:b w:val="0"/>
          <w:i w:val="0"/>
          <w:color w:val="BE123C"/>
          <w:sz w:val="19"/>
        </w:rPr>
        <w:t>age</w:t>
      </w:r>
      <w:r>
        <w:rPr>
          <w:rFonts w:ascii="Times New Roman" w:hAnsi="Times New Roman"/>
          <w:b w:val="0"/>
          <w:i w:val="0"/>
          <w:color w:val="0F172A"/>
          <w:sz w:val="22"/>
        </w:rPr>
        <w:t xml:space="preserve">, and </w:t>
      </w:r>
      <w:r>
        <w:rPr>
          <w:rFonts w:ascii="Consolas" w:hAnsi="Consolas"/>
          <w:b w:val="0"/>
          <w:i w:val="0"/>
          <w:color w:val="BE123C"/>
          <w:sz w:val="19"/>
        </w:rPr>
        <w:t>gender</w:t>
      </w:r>
      <w:r>
        <w:rPr>
          <w:rFonts w:ascii="Times New Roman" w:hAnsi="Times New Roman"/>
          <w:b w:val="0"/>
          <w:i w:val="0"/>
          <w:color w:val="0F172A"/>
          <w:sz w:val="22"/>
        </w:rPr>
        <w:t xml:space="preserve"> to calculate the estimated Glomerular Filtration Rate using the modern, race-free </w:t>
      </w:r>
      <w:r>
        <w:rPr>
          <w:rFonts w:ascii="Times New Roman" w:hAnsi="Times New Roman"/>
          <w:b/>
          <w:i w:val="0"/>
          <w:color w:val="0F172A"/>
          <w:sz w:val="22"/>
        </w:rPr>
        <w:t>2021 CKD-EPI Creatinine Equation</w:t>
      </w:r>
      <w:r>
        <w:rPr>
          <w:rFonts w:ascii="Times New Roman" w:hAnsi="Times New Roman"/>
          <w:b w:val="0"/>
          <w:i w:val="0"/>
          <w:color w:val="0F172A"/>
          <w:sz w:val="22"/>
        </w:rPr>
        <w:t>:</w:t>
      </w:r>
    </w:p>
    <w:p>
      <w:pPr>
        <w:spacing w:line="300" w:lineRule="auto" w:before="0" w:after="160"/>
        <w:jc w:val="both"/>
      </w:pPr>
      <w:r>
        <w:rPr>
          <w:rFonts w:ascii="Times New Roman" w:hAnsi="Times New Roman"/>
          <w:b w:val="0"/>
          <w:i w:val="0"/>
          <w:color w:val="0F172A"/>
          <w:sz w:val="22"/>
        </w:rPr>
        <w:t>$$\textext{eGFR} = 142 \textimes \min\left(\fracrac{S_{cr}}{\kappa}, 1</w:t>
      </w:r>
    </w:p>
    <w:p>
      <w:pPr>
        <w:spacing w:line="300" w:lineRule="auto" w:before="0" w:after="160"/>
        <w:jc w:val="both"/>
      </w:pPr>
      <w:r>
        <w:rPr>
          <w:rFonts w:ascii="Times New Roman" w:hAnsi="Times New Roman"/>
          <w:b w:val="0"/>
          <w:i w:val="0"/>
          <w:color w:val="0F172A"/>
          <w:sz w:val="22"/>
        </w:rPr>
        <w:t>ight)^{lpha} \textimes \max\left(\fracrac{S_{cr}}{\kappa}, 1</w:t>
      </w:r>
    </w:p>
    <w:p>
      <w:pPr>
        <w:spacing w:line="300" w:lineRule="auto" w:before="0" w:after="160"/>
        <w:jc w:val="both"/>
      </w:pPr>
      <w:r>
        <w:rPr>
          <w:rFonts w:ascii="Times New Roman" w:hAnsi="Times New Roman"/>
          <w:b w:val="0"/>
          <w:i w:val="0"/>
          <w:color w:val="0F172A"/>
          <w:sz w:val="22"/>
        </w:rPr>
        <w:t>ight)^{-1.200} \textimes 0.9938^{\textext{Age}} \textimes \textext{Sex\_Coeff}$$</w:t>
      </w:r>
    </w:p>
    <w:p>
      <w:pPr>
        <w:spacing w:line="300" w:lineRule="auto" w:before="0" w:after="160"/>
        <w:jc w:val="both"/>
      </w:pPr>
      <w:r>
        <w:rPr>
          <w:rFonts w:ascii="Times New Roman" w:hAnsi="Times New Roman"/>
          <w:b w:val="0"/>
          <w:i w:val="0"/>
          <w:color w:val="0F172A"/>
          <w:sz w:val="22"/>
        </w:rPr>
        <w:t>Where:</w:t>
      </w:r>
    </w:p>
    <w:p>
      <w:pPr>
        <w:pStyle w:val="ListBullet"/>
        <w:spacing w:line="300" w:lineRule="auto" w:before="40" w:after="40"/>
        <w:ind w:left="576"/>
        <w:jc w:val="left"/>
      </w:pPr>
      <w:r>
        <w:rPr>
          <w:rFonts w:ascii="Times New Roman" w:hAnsi="Times New Roman"/>
          <w:b w:val="0"/>
          <w:i w:val="0"/>
          <w:color w:val="0F172A"/>
          <w:sz w:val="22"/>
        </w:rPr>
        <w:t xml:space="preserve">  $S_{cr}$ is the serum creatinine in mg/dL.</w:t>
      </w:r>
    </w:p>
    <w:p>
      <w:pPr>
        <w:pStyle w:val="ListBullet"/>
        <w:spacing w:line="300" w:lineRule="auto" w:before="40" w:after="40"/>
        <w:ind w:left="576"/>
        <w:jc w:val="left"/>
      </w:pPr>
      <w:r>
        <w:rPr>
          <w:rFonts w:ascii="Times New Roman" w:hAnsi="Times New Roman"/>
          <w:b w:val="0"/>
          <w:i w:val="0"/>
          <w:color w:val="0F172A"/>
          <w:sz w:val="22"/>
        </w:rPr>
        <w:t xml:space="preserve">  $\kappa$ is $0.7$ for females and $0.9$ for males.</w:t>
      </w:r>
    </w:p>
    <w:p>
      <w:pPr>
        <w:pStyle w:val="ListBullet"/>
        <w:spacing w:line="300" w:lineRule="auto" w:before="40" w:after="40"/>
        <w:ind w:left="576"/>
        <w:jc w:val="left"/>
      </w:pPr>
      <w:r>
        <w:rPr>
          <w:rFonts w:ascii="Times New Roman" w:hAnsi="Times New Roman"/>
          <w:b w:val="0"/>
          <w:i w:val="0"/>
          <w:color w:val="0F172A"/>
          <w:sz w:val="22"/>
        </w:rPr>
        <w:t xml:space="preserve">  $lpha$ is $-0.241$ for females and $-0.302$ for males.</w:t>
      </w:r>
    </w:p>
    <w:p>
      <w:pPr>
        <w:pStyle w:val="ListBullet"/>
        <w:spacing w:line="300" w:lineRule="auto" w:before="40" w:after="40"/>
        <w:ind w:left="576"/>
        <w:jc w:val="left"/>
      </w:pPr>
      <w:r>
        <w:rPr>
          <w:rFonts w:ascii="Times New Roman" w:hAnsi="Times New Roman"/>
          <w:b w:val="0"/>
          <w:i w:val="0"/>
          <w:color w:val="0F172A"/>
          <w:sz w:val="22"/>
        </w:rPr>
        <w:t xml:space="preserve">  $\textext{Sex\_Coeff}$ is $1.012$ for females and $1.0$ for males.</w:t>
      </w:r>
    </w:p>
    <w:p>
      <w:pPr>
        <w:spacing w:line="300" w:lineRule="auto" w:before="0" w:after="160"/>
        <w:jc w:val="both"/>
      </w:pPr>
      <w:r>
        <w:rPr>
          <w:rFonts w:ascii="Times New Roman" w:hAnsi="Times New Roman"/>
          <w:b w:val="0"/>
          <w:i w:val="0"/>
          <w:color w:val="0F172A"/>
          <w:sz w:val="22"/>
        </w:rPr>
        <w:t xml:space="preserve">Using the computed eGFR and the Patient's Urine Albumin-to-Creatinine Ratio (ACR), the system classifies the patient's renal status according to the clinical standard </w:t>
      </w:r>
      <w:r>
        <w:rPr>
          <w:rFonts w:ascii="Times New Roman" w:hAnsi="Times New Roman"/>
          <w:b/>
          <w:i w:val="0"/>
          <w:color w:val="0F172A"/>
          <w:sz w:val="22"/>
        </w:rPr>
        <w:t>KDIGO Guidelines</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1.  </w:t>
      </w:r>
      <w:r>
        <w:rPr>
          <w:rFonts w:ascii="Times New Roman" w:hAnsi="Times New Roman"/>
          <w:b/>
          <w:i w:val="0"/>
          <w:color w:val="0F172A"/>
          <w:sz w:val="22"/>
        </w:rPr>
        <w:t>GFR Staging (G1 to G5)</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G1</w:t>
      </w:r>
      <w:r>
        <w:rPr>
          <w:rFonts w:ascii="Times New Roman" w:hAnsi="Times New Roman"/>
          <w:b w:val="0"/>
          <w:i w:val="0"/>
          <w:color w:val="0F172A"/>
          <w:sz w:val="22"/>
        </w:rPr>
        <w:t>: $\ge 90$ mL/min/1.73 m² (Normal or high)</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G2</w:t>
      </w:r>
      <w:r>
        <w:rPr>
          <w:rFonts w:ascii="Times New Roman" w:hAnsi="Times New Roman"/>
          <w:b w:val="0"/>
          <w:i w:val="0"/>
          <w:color w:val="0F172A"/>
          <w:sz w:val="22"/>
        </w:rPr>
        <w:t>: $60 - 89$ mL/min/1.73 m² (Mildly decreased)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G3a</w:t>
      </w:r>
      <w:r>
        <w:rPr>
          <w:rFonts w:ascii="Times New Roman" w:hAnsi="Times New Roman"/>
          <w:b w:val="0"/>
          <w:i w:val="0"/>
          <w:color w:val="0F172A"/>
          <w:sz w:val="22"/>
        </w:rPr>
        <w:t>: $45 - 59$ mL/min/1.73 m² (Mildly to moderately decreased)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G3b</w:t>
      </w:r>
      <w:r>
        <w:rPr>
          <w:rFonts w:ascii="Times New Roman" w:hAnsi="Times New Roman"/>
          <w:b w:val="0"/>
          <w:i w:val="0"/>
          <w:color w:val="0F172A"/>
          <w:sz w:val="22"/>
        </w:rPr>
        <w:t>: $30 - 44$ mL/min/1.73 m² (Moderately to severely decreased)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G4</w:t>
      </w:r>
      <w:r>
        <w:rPr>
          <w:rFonts w:ascii="Times New Roman" w:hAnsi="Times New Roman"/>
          <w:b w:val="0"/>
          <w:i w:val="0"/>
          <w:color w:val="0F172A"/>
          <w:sz w:val="22"/>
        </w:rPr>
        <w:t>: $15 - 29$ mL/min/1.73 m² (Severely decreased)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G5</w:t>
      </w:r>
      <w:r>
        <w:rPr>
          <w:rFonts w:ascii="Times New Roman" w:hAnsi="Times New Roman"/>
          <w:b w:val="0"/>
          <w:i w:val="0"/>
          <w:color w:val="0F172A"/>
          <w:sz w:val="22"/>
        </w:rPr>
        <w:t>: $&lt; 15$ mL/min/1.73 m² (Kidney failure)</w:t>
      </w:r>
    </w:p>
    <w:p>
      <w:pPr>
        <w:pStyle w:val="ListBullet"/>
        <w:spacing w:line="300" w:lineRule="auto" w:before="40" w:after="40"/>
        <w:ind w:left="576"/>
        <w:jc w:val="left"/>
      </w:pPr>
      <w:r>
        <w:rPr>
          <w:rFonts w:ascii="Times New Roman" w:hAnsi="Times New Roman"/>
          <w:b w:val="0"/>
          <w:i w:val="0"/>
          <w:color w:val="0F172A"/>
          <w:sz w:val="22"/>
        </w:rPr>
        <w:t xml:space="preserve">2.  </w:t>
      </w:r>
      <w:r>
        <w:rPr>
          <w:rFonts w:ascii="Times New Roman" w:hAnsi="Times New Roman"/>
          <w:b/>
          <w:i w:val="0"/>
          <w:color w:val="0F172A"/>
          <w:sz w:val="22"/>
        </w:rPr>
        <w:t>Albuminuria Staging (A1 to A3)</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A1</w:t>
      </w:r>
      <w:r>
        <w:rPr>
          <w:rFonts w:ascii="Times New Roman" w:hAnsi="Times New Roman"/>
          <w:b w:val="0"/>
          <w:i w:val="0"/>
          <w:color w:val="0F172A"/>
          <w:sz w:val="22"/>
        </w:rPr>
        <w:t>: $&lt; 30$ mg/g (Normal to mildly increased)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A2</w:t>
      </w:r>
      <w:r>
        <w:rPr>
          <w:rFonts w:ascii="Times New Roman" w:hAnsi="Times New Roman"/>
          <w:b w:val="0"/>
          <w:i w:val="0"/>
          <w:color w:val="0F172A"/>
          <w:sz w:val="22"/>
        </w:rPr>
        <w:t>: $30 - 300$ mg/g (Moderately increased)</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A3</w:t>
      </w:r>
      <w:r>
        <w:rPr>
          <w:rFonts w:ascii="Times New Roman" w:hAnsi="Times New Roman"/>
          <w:b w:val="0"/>
          <w:i w:val="0"/>
          <w:color w:val="0F172A"/>
          <w:sz w:val="22"/>
        </w:rPr>
        <w:t>: $&gt; 300$ mg/g (Severely increased)</w:t>
      </w:r>
    </w:p>
    <w:p>
      <w:pPr>
        <w:pStyle w:val="ListBullet"/>
        <w:spacing w:line="300" w:lineRule="auto" w:before="40" w:after="40"/>
        <w:ind w:left="576"/>
        <w:jc w:val="left"/>
      </w:pPr>
      <w:r>
        <w:rPr>
          <w:rFonts w:ascii="Times New Roman" w:hAnsi="Times New Roman"/>
          <w:b w:val="0"/>
          <w:i w:val="0"/>
          <w:color w:val="0F172A"/>
          <w:sz w:val="22"/>
        </w:rPr>
        <w:t xml:space="preserve">  *Note*: If the raw laboratory ACR is not supplied, the system dynamically estimates it based on qualitative dipstick urine albumin: `0` $</w:t>
      </w:r>
    </w:p>
    <w:p>
      <w:pPr>
        <w:spacing w:line="300" w:lineRule="auto" w:before="0" w:after="160"/>
        <w:jc w:val="both"/>
      </w:pPr>
      <w:r>
        <w:rPr>
          <w:rFonts w:ascii="Times New Roman" w:hAnsi="Times New Roman"/>
          <w:b w:val="0"/>
          <w:i w:val="0"/>
          <w:color w:val="0F172A"/>
          <w:sz w:val="22"/>
        </w:rPr>
        <w:t xml:space="preserve">ightarrow 15.0$ mg/g, </w:t>
      </w:r>
      <w:r>
        <w:rPr>
          <w:rFonts w:ascii="Consolas" w:hAnsi="Consolas"/>
          <w:b w:val="0"/>
          <w:i w:val="0"/>
          <w:color w:val="BE123C"/>
          <w:sz w:val="19"/>
        </w:rPr>
        <w:t>1</w:t>
      </w:r>
      <w:r>
        <w:rPr>
          <w:rFonts w:ascii="Times New Roman" w:hAnsi="Times New Roman"/>
          <w:b w:val="0"/>
          <w:i w:val="0"/>
          <w:color w:val="0F172A"/>
          <w:sz w:val="22"/>
        </w:rPr>
        <w:t xml:space="preserve"> $</w:t>
      </w:r>
    </w:p>
    <w:p>
      <w:pPr>
        <w:spacing w:line="300" w:lineRule="auto" w:before="0" w:after="160"/>
        <w:jc w:val="both"/>
      </w:pPr>
      <w:r>
        <w:rPr>
          <w:rFonts w:ascii="Times New Roman" w:hAnsi="Times New Roman"/>
          <w:b w:val="0"/>
          <w:i w:val="0"/>
          <w:color w:val="0F172A"/>
          <w:sz w:val="22"/>
        </w:rPr>
        <w:t>ightarrow 150.0$ mg/g, $\ge 2$ $</w:t>
      </w:r>
    </w:p>
    <w:p>
      <w:pPr>
        <w:spacing w:line="300" w:lineRule="auto" w:before="0" w:after="160"/>
        <w:jc w:val="both"/>
      </w:pPr>
      <w:r>
        <w:rPr>
          <w:rFonts w:ascii="Times New Roman" w:hAnsi="Times New Roman"/>
          <w:b w:val="0"/>
          <w:i w:val="0"/>
          <w:color w:val="0F172A"/>
          <w:sz w:val="22"/>
        </w:rPr>
        <w:t>ightarrow 450.0$ mg/g.</w:t>
      </w:r>
    </w:p>
    <w:p>
      <w:pPr>
        <w:pStyle w:val="ListBullet"/>
        <w:spacing w:line="300" w:lineRule="auto" w:before="40" w:after="40"/>
        <w:ind w:left="576"/>
        <w:jc w:val="left"/>
      </w:pPr>
      <w:r>
        <w:rPr>
          <w:rFonts w:ascii="Times New Roman" w:hAnsi="Times New Roman"/>
          <w:b w:val="0"/>
          <w:i w:val="0"/>
          <w:color w:val="0F172A"/>
          <w:sz w:val="22"/>
        </w:rPr>
        <w:t xml:space="preserve">3.  </w:t>
      </w:r>
      <w:r>
        <w:rPr>
          <w:rFonts w:ascii="Times New Roman" w:hAnsi="Times New Roman"/>
          <w:b/>
          <w:i w:val="0"/>
          <w:color w:val="0F172A"/>
          <w:sz w:val="22"/>
        </w:rPr>
        <w:t>Risk Progression Matrix</w:t>
      </w:r>
      <w:r>
        <w:rPr>
          <w:rFonts w:ascii="Times New Roman" w:hAnsi="Times New Roman"/>
          <w:b w:val="0"/>
          <w:i w:val="0"/>
          <w:color w:val="0F172A"/>
          <w:sz w:val="22"/>
        </w:rPr>
        <w:t xml:space="preserve">: The system maps the GFR stage and Albuminuria category onto the clinical KDIGO heatmap, producing a final prognostic risk category: </w:t>
      </w:r>
      <w:r>
        <w:rPr>
          <w:rFonts w:ascii="Times New Roman" w:hAnsi="Times New Roman"/>
          <w:b/>
          <w:i w:val="0"/>
          <w:color w:val="0F172A"/>
          <w:sz w:val="22"/>
        </w:rPr>
        <w:t>Low, Moderate, High, or Very High</w:t>
      </w:r>
      <w:r>
        <w:rPr>
          <w:rFonts w:ascii="Times New Roman" w:hAnsi="Times New Roman"/>
          <w:b w:val="0"/>
          <w:i w:val="0"/>
          <w:color w:val="0F172A"/>
          <w:sz w:val="22"/>
        </w:rPr>
        <w:t>, along with institutional recommendations.</w:t>
      </w:r>
    </w:p>
    <w:p>
      <w:pPr>
        <w:keepNext/>
        <w:spacing w:line="300" w:lineRule="auto" w:before="200" w:after="80"/>
        <w:jc w:val="left"/>
      </w:pPr>
      <w:r>
        <w:rPr>
          <w:rFonts w:ascii="Times New Roman" w:hAnsi="Times New Roman"/>
          <w:b/>
          <w:i/>
          <w:color w:val="0F172A"/>
          <w:sz w:val="22"/>
        </w:rPr>
        <w:t>3.4.2 Machine Learning Classification</w:t>
      </w:r>
    </w:p>
    <w:p>
      <w:pPr>
        <w:spacing w:line="300" w:lineRule="auto" w:before="0" w:after="160"/>
        <w:jc w:val="both"/>
      </w:pPr>
      <w:r>
        <w:rPr>
          <w:rFonts w:ascii="Times New Roman" w:hAnsi="Times New Roman"/>
          <w:b w:val="0"/>
          <w:i w:val="0"/>
          <w:color w:val="0F172A"/>
          <w:sz w:val="22"/>
        </w:rPr>
        <w:t xml:space="preserve">Simultaneously, the patient's 14 features are packaged as an input vector and evaluated by a </w:t>
      </w:r>
      <w:r>
        <w:rPr>
          <w:rFonts w:ascii="Times New Roman" w:hAnsi="Times New Roman"/>
          <w:b/>
          <w:i w:val="0"/>
          <w:color w:val="0F172A"/>
          <w:sz w:val="22"/>
        </w:rPr>
        <w:t>Decision Tree Classifier</w:t>
      </w:r>
      <w:r>
        <w:rPr>
          <w:rFonts w:ascii="Times New Roman" w:hAnsi="Times New Roman"/>
          <w:b w:val="0"/>
          <w:i w:val="0"/>
          <w:color w:val="0F172A"/>
          <w:sz w:val="22"/>
        </w:rPr>
        <w:t xml:space="preserve">. The model determines a diagnostic binary prediction (CKD Detected or No CKD Detected) and extracts the leaf-node class distribution to calculate a prediction </w:t>
      </w:r>
      <w:r>
        <w:rPr>
          <w:rFonts w:ascii="Times New Roman" w:hAnsi="Times New Roman"/>
          <w:b/>
          <w:i w:val="0"/>
          <w:color w:val="0F172A"/>
          <w:sz w:val="22"/>
        </w:rPr>
        <w:t>confidence score</w:t>
      </w:r>
      <w:r>
        <w:rPr>
          <w:rFonts w:ascii="Times New Roman" w:hAnsi="Times New Roman"/>
          <w:b w:val="0"/>
          <w:i w:val="0"/>
          <w:color w:val="0F172A"/>
          <w:sz w:val="22"/>
        </w:rPr>
        <w:t>.</w:t>
      </w:r>
    </w:p>
    <w:p>
      <w:pPr>
        <w:keepNext/>
        <w:spacing w:line="300" w:lineRule="auto" w:before="200" w:after="80"/>
        <w:jc w:val="left"/>
      </w:pPr>
      <w:r>
        <w:rPr>
          <w:rFonts w:ascii="Times New Roman" w:hAnsi="Times New Roman"/>
          <w:b/>
          <w:i/>
          <w:color w:val="0F172A"/>
          <w:sz w:val="22"/>
        </w:rPr>
        <w:t>3.4.3 Large Language Model Clinical Summarization</w:t>
      </w:r>
    </w:p>
    <w:p>
      <w:pPr>
        <w:spacing w:line="300" w:lineRule="auto" w:before="0" w:after="160"/>
        <w:jc w:val="both"/>
      </w:pPr>
      <w:r>
        <w:rPr>
          <w:rFonts w:ascii="Times New Roman" w:hAnsi="Times New Roman"/>
          <w:b w:val="0"/>
          <w:i w:val="0"/>
          <w:color w:val="0F172A"/>
          <w:sz w:val="22"/>
        </w:rPr>
        <w:t xml:space="preserve">To provide personalized care recommendations, the results are forwarded to the </w:t>
      </w:r>
      <w:r>
        <w:rPr>
          <w:rFonts w:ascii="Times New Roman" w:hAnsi="Times New Roman"/>
          <w:b/>
          <w:i w:val="0"/>
          <w:color w:val="0F172A"/>
          <w:sz w:val="22"/>
        </w:rPr>
        <w:t>Google Gemini Pro API</w:t>
      </w:r>
      <w:r>
        <w:rPr>
          <w:rFonts w:ascii="Times New Roman" w:hAnsi="Times New Roman"/>
          <w:b w:val="0"/>
          <w:i w:val="0"/>
          <w:color w:val="0F172A"/>
          <w:sz w:val="22"/>
        </w:rPr>
        <w:t>. The orchestration script constructs a clinical prompt containing the patient’s vital statistics, clinical staging, ML classifier prediction, and confidence score. The model returns structured clinical insights, risk assessments, suggested precautions, lifestyle modifications, and follow-up protocols.</w:t>
      </w:r>
    </w:p>
    <w:p>
      <w:r>
        <w:br w:type="page"/>
      </w:r>
    </w:p>
    <w:p>
      <w:pPr>
        <w:keepNext/>
        <w:spacing w:line="300" w:lineRule="auto" w:before="280" w:after="120"/>
        <w:jc w:val="left"/>
      </w:pPr>
      <w:r>
        <w:rPr>
          <w:rFonts w:ascii="Montserrat" w:hAnsi="Montserrat"/>
          <w:b/>
          <w:i w:val="0"/>
          <w:color w:val="4F46E5"/>
          <w:sz w:val="24"/>
        </w:rPr>
        <w:t>3.5 System Architecture &amp; Implementation</w:t>
      </w:r>
    </w:p>
    <w:p>
      <w:pPr>
        <w:spacing w:line="300" w:lineRule="auto" w:before="0" w:after="160"/>
        <w:jc w:val="both"/>
      </w:pPr>
      <w:r>
        <w:rPr>
          <w:rFonts w:ascii="Times New Roman" w:hAnsi="Times New Roman"/>
          <w:b w:val="0"/>
          <w:i w:val="0"/>
          <w:color w:val="0F172A"/>
          <w:sz w:val="22"/>
        </w:rPr>
        <w:t>The application is built on a clean, scalable Model-View-Controller (MVC) pattern using Flask (Python) and SQLite/PostgreSQL databases.</w:t>
      </w:r>
    </w:p>
    <w:p>
      <w:pPr>
        <w:spacing w:line="300" w:lineRule="auto" w:before="120" w:after="120"/>
        <w:ind w:left="576"/>
        <w:jc w:val="left"/>
      </w:pPr>
      <w:r>
        <w:rPr>
          <w:rFonts w:ascii="Consolas" w:hAnsi="Consolas"/>
          <w:b w:val="0"/>
          <w:i w:val="0"/>
          <w:color w:val="BE123C"/>
          <w:sz w:val="19"/>
        </w:rPr>
        <w:t xml:space="preserve">       [ Client Web Browser ]</w:t>
        <w:br/>
        <w:t xml:space="preserve">         │               ▲</w:t>
        <w:br/>
        <w:t xml:space="preserve">  (HTTP Requests)  (Rendered HTML/CSS)</w:t>
        <w:br/>
        <w:t xml:space="preserve">         ▼               │</w:t>
        <w:br/>
        <w:t xml:space="preserve">    [ app/routes/dashboard.py ]  ◄── (Flask Blueprints)</w:t>
        <w:br/>
        <w:t xml:space="preserve">         │               ▲</w:t>
        <w:br/>
        <w:t xml:space="preserve">         ▼               │</w:t>
        <w:br/>
        <w:t xml:space="preserve">   [ app/forms.py ] [ app/templates/ ]</w:t>
        <w:br/>
        <w:t xml:space="preserve">         │</w:t>
        <w:br/>
        <w:t xml:space="preserve">         ├───► [ app/models.py ] ───► [ PostgreSQL / SQLite DB ]</w:t>
        <w:br/>
        <w:t xml:space="preserve">         │</w:t>
        <w:br/>
        <w:t xml:space="preserve">         ├───► [ app/diagnosis.py ] (eGFR &amp; KDIGO Calculations)</w:t>
        <w:br/>
        <w:t xml:space="preserve">         │</w:t>
        <w:br/>
        <w:t xml:space="preserve">         ├───► [ app/ml_model.py ] ──► [ decision_tree.joblib ]</w:t>
        <w:br/>
        <w:t xml:space="preserve">         │</w:t>
        <w:br/>
        <w:t xml:space="preserve">         └───► [ app/gemini_service.py ] ──► [ Gemini Pro API ]</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Models (`app/models.py`)</w:t>
      </w:r>
      <w:r>
        <w:rPr>
          <w:rFonts w:ascii="Times New Roman" w:hAnsi="Times New Roman"/>
          <w:b w:val="0"/>
          <w:i w:val="0"/>
          <w:color w:val="0F172A"/>
          <w:sz w:val="22"/>
        </w:rPr>
        <w:t>: Utilizes SQLAlchemy to define relational schemas for `User` (clinicians), `Patient` (demographics), and `Diagnosis` (historical laboratory metrics).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Views (`app/templates/`)</w:t>
      </w:r>
      <w:r>
        <w:rPr>
          <w:rFonts w:ascii="Times New Roman" w:hAnsi="Times New Roman"/>
          <w:b w:val="0"/>
          <w:i w:val="0"/>
          <w:color w:val="0F172A"/>
          <w:sz w:val="22"/>
        </w:rPr>
        <w:t>: Uses custom Jinja2 HTML templates styled with premium vanilla CSS variables. Pages are fully responsive and utilize clean micro-animations.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Controllers (`app/routes/`)</w:t>
      </w:r>
      <w:r>
        <w:rPr>
          <w:rFonts w:ascii="Times New Roman" w:hAnsi="Times New Roman"/>
          <w:b w:val="0"/>
          <w:i w:val="0"/>
          <w:color w:val="0F172A"/>
          <w:sz w:val="22"/>
        </w:rPr>
        <w:t>: Implements Blueprint controllers to manage application authentication, patient registers, and diagnosis forms.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Interactive Editing</w:t>
      </w:r>
      <w:r>
        <w:rPr>
          <w:rFonts w:ascii="Times New Roman" w:hAnsi="Times New Roman"/>
          <w:b w:val="0"/>
          <w:i w:val="0"/>
          <w:color w:val="0F172A"/>
          <w:sz w:val="22"/>
        </w:rPr>
        <w:t>: Includes dedicated edit controllers that allow clinical practitioners to update patient demographics or retroactively modify historical clinical inputs, triggering automated diagnostic re-runs to keep patient records consistent.</w:t>
      </w:r>
    </w:p>
    <w:p>
      <w:r>
        <w:br w:type="page"/>
      </w:r>
    </w:p>
    <w:p>
      <w:r>
        <w:br w:type="page"/>
      </w:r>
    </w:p>
    <w:p>
      <w:pPr>
        <w:keepNext/>
        <w:spacing w:line="300" w:lineRule="auto" w:before="400" w:after="160"/>
        <w:jc w:val="center"/>
      </w:pPr>
      <w:r>
        <w:rPr>
          <w:rFonts w:ascii="Montserrat" w:hAnsi="Montserrat"/>
          <w:b/>
          <w:i w:val="0"/>
          <w:color w:val="1E2E81"/>
          <w:sz w:val="30"/>
        </w:rPr>
        <w:t>CHAPTER 4: RESULTS AND DISCUSSION</w:t>
      </w:r>
    </w:p>
    <w:p>
      <w:pPr>
        <w:keepNext/>
        <w:spacing w:line="300" w:lineRule="auto" w:before="280" w:after="120"/>
        <w:jc w:val="left"/>
      </w:pPr>
      <w:r>
        <w:rPr>
          <w:rFonts w:ascii="Montserrat" w:hAnsi="Montserrat"/>
          <w:b/>
          <w:i w:val="0"/>
          <w:color w:val="4F46E5"/>
          <w:sz w:val="24"/>
        </w:rPr>
        <w:t>4.1 Experimental Environment &amp; Setup</w:t>
      </w:r>
    </w:p>
    <w:p>
      <w:pPr>
        <w:spacing w:line="300" w:lineRule="auto" w:before="0" w:after="160"/>
        <w:jc w:val="both"/>
      </w:pPr>
      <w:r>
        <w:rPr>
          <w:rFonts w:ascii="Times New Roman" w:hAnsi="Times New Roman"/>
          <w:b w:val="0"/>
          <w:i w:val="0"/>
          <w:color w:val="0F172A"/>
          <w:sz w:val="22"/>
        </w:rPr>
        <w:t>To establish reproducibility, the system development and model evaluations were executed in the following localized standard environment:</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Operating System</w:t>
      </w:r>
      <w:r>
        <w:rPr>
          <w:rFonts w:ascii="Times New Roman" w:hAnsi="Times New Roman"/>
          <w:b w:val="0"/>
          <w:i w:val="0"/>
          <w:color w:val="0F172A"/>
          <w:sz w:val="22"/>
        </w:rPr>
        <w:t>: Linux Ubuntu 24.04 LTS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Core Execution Framework</w:t>
      </w:r>
      <w:r>
        <w:rPr>
          <w:rFonts w:ascii="Times New Roman" w:hAnsi="Times New Roman"/>
          <w:b w:val="0"/>
          <w:i w:val="0"/>
          <w:color w:val="0F172A"/>
          <w:sz w:val="22"/>
        </w:rPr>
        <w:t>: Python 3.12.3</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Primary Scientific Computing Libraries</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`scikit-learn` (v1.4.2) for Decision Tree modeling, validation, and feature importances.</w:t>
      </w:r>
    </w:p>
    <w:p>
      <w:pPr>
        <w:pStyle w:val="ListBullet"/>
        <w:spacing w:line="300" w:lineRule="auto" w:before="40" w:after="40"/>
        <w:ind w:left="576"/>
        <w:jc w:val="left"/>
      </w:pPr>
      <w:r>
        <w:rPr>
          <w:rFonts w:ascii="Times New Roman" w:hAnsi="Times New Roman"/>
          <w:b w:val="0"/>
          <w:i w:val="0"/>
          <w:color w:val="0F172A"/>
          <w:sz w:val="22"/>
        </w:rPr>
        <w:t xml:space="preserve">  `pandas` (v2.2.1) and `numpy` (v1.26.4) for dataset manipulation, filtering, and numerical vector operations.</w:t>
      </w:r>
    </w:p>
    <w:p>
      <w:pPr>
        <w:pStyle w:val="ListBullet"/>
        <w:spacing w:line="300" w:lineRule="auto" w:before="40" w:after="40"/>
        <w:ind w:left="576"/>
        <w:jc w:val="left"/>
      </w:pPr>
      <w:r>
        <w:rPr>
          <w:rFonts w:ascii="Times New Roman" w:hAnsi="Times New Roman"/>
          <w:b w:val="0"/>
          <w:i w:val="0"/>
          <w:color w:val="0F172A"/>
          <w:sz w:val="22"/>
        </w:rPr>
        <w:t xml:space="preserve">  `joblib` (v1.4.0) for predictive model serialization and caching.</w:t>
      </w:r>
    </w:p>
    <w:p>
      <w:pPr>
        <w:pStyle w:val="ListBullet"/>
        <w:spacing w:line="300" w:lineRule="auto" w:before="40" w:after="40"/>
        <w:ind w:left="576"/>
        <w:jc w:val="left"/>
      </w:pPr>
      <w:r>
        <w:rPr>
          <w:rFonts w:ascii="Times New Roman" w:hAnsi="Times New Roman"/>
          <w:b w:val="0"/>
          <w:i w:val="0"/>
          <w:color w:val="0F172A"/>
          <w:sz w:val="22"/>
        </w:rPr>
        <w:t xml:space="preserve">  `Flask` (v3.0.2) and `Flask-SQLAlchemy` (v3.1.1) for web deployment and data persistence.</w:t>
      </w:r>
    </w:p>
    <w:p>
      <w:pPr>
        <w:pStyle w:val="ListBullet"/>
        <w:spacing w:line="300" w:lineRule="auto" w:before="40" w:after="40"/>
        <w:ind w:left="576"/>
        <w:jc w:val="left"/>
      </w:pPr>
      <w:r>
        <w:rPr>
          <w:rFonts w:ascii="Times New Roman" w:hAnsi="Times New Roman"/>
          <w:b w:val="0"/>
          <w:i w:val="0"/>
          <w:color w:val="0F172A"/>
          <w:sz w:val="22"/>
        </w:rPr>
        <w:t xml:space="preserve">  `weasyprint` (v61.2) for compiling HTML reports into print-ready PDF assets.</w:t>
      </w:r>
    </w:p>
    <w:p>
      <w:r>
        <w:br w:type="page"/>
      </w:r>
    </w:p>
    <w:p>
      <w:pPr>
        <w:keepNext/>
        <w:spacing w:line="300" w:lineRule="auto" w:before="280" w:after="120"/>
        <w:jc w:val="left"/>
      </w:pPr>
      <w:r>
        <w:rPr>
          <w:rFonts w:ascii="Montserrat" w:hAnsi="Montserrat"/>
          <w:b/>
          <w:i w:val="0"/>
          <w:color w:val="4F46E5"/>
          <w:sz w:val="24"/>
        </w:rPr>
        <w:t>4.2 Model Training Performance</w:t>
      </w:r>
    </w:p>
    <w:p>
      <w:pPr>
        <w:spacing w:line="300" w:lineRule="auto" w:before="0" w:after="160"/>
        <w:jc w:val="both"/>
      </w:pPr>
      <w:r>
        <w:rPr>
          <w:rFonts w:ascii="Times New Roman" w:hAnsi="Times New Roman"/>
          <w:b w:val="0"/>
          <w:i w:val="0"/>
          <w:color w:val="0F172A"/>
          <w:sz w:val="22"/>
        </w:rPr>
        <w:t>A Decision Tree Classifier was selected due to its high clinical interpretability. Unlike "black box" deep neural networks, a Decision Tree's path corresponds to a sequence of logical medical rule splits that can be manually traced and validated by a physician.</w:t>
      </w:r>
    </w:p>
    <w:p>
      <w:pPr>
        <w:spacing w:line="300" w:lineRule="auto" w:before="0" w:after="160"/>
        <w:jc w:val="both"/>
      </w:pPr>
      <w:r>
        <w:rPr>
          <w:rFonts w:ascii="Times New Roman" w:hAnsi="Times New Roman"/>
          <w:b w:val="0"/>
          <w:i w:val="0"/>
          <w:color w:val="0F172A"/>
          <w:sz w:val="22"/>
        </w:rPr>
        <w:t xml:space="preserve">The classifier was trained on the cleaned 360-sample training dataset. Regularization was implemented using a </w:t>
      </w:r>
      <w:r>
        <w:rPr>
          <w:rFonts w:ascii="Consolas" w:hAnsi="Consolas"/>
          <w:b w:val="0"/>
          <w:i w:val="0"/>
          <w:color w:val="BE123C"/>
          <w:sz w:val="19"/>
        </w:rPr>
        <w:t>min_samples_leaf=2</w:t>
      </w:r>
      <w:r>
        <w:rPr>
          <w:rFonts w:ascii="Times New Roman" w:hAnsi="Times New Roman"/>
          <w:b w:val="0"/>
          <w:i w:val="0"/>
          <w:color w:val="0F172A"/>
          <w:sz w:val="22"/>
        </w:rPr>
        <w:t xml:space="preserve"> parameter to ensure leaf nodes capture generalizable clinical sub-cohorts rather than isolated patients, reducing overfitting.</w:t>
      </w:r>
    </w:p>
    <w:p>
      <w:pPr>
        <w:spacing w:line="300" w:lineRule="auto" w:before="0" w:after="160"/>
        <w:jc w:val="both"/>
      </w:pPr>
      <w:r>
        <w:rPr>
          <w:rFonts w:ascii="Times New Roman" w:hAnsi="Times New Roman"/>
          <w:b w:val="0"/>
          <w:i w:val="0"/>
          <w:color w:val="0F172A"/>
          <w:sz w:val="22"/>
        </w:rPr>
        <w:t>The training execution returned the following architectural metrics: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Optimal Tree Depth</w:t>
      </w:r>
      <w:r>
        <w:rPr>
          <w:rFonts w:ascii="Times New Roman" w:hAnsi="Times New Roman"/>
          <w:b w:val="0"/>
          <w:i w:val="0"/>
          <w:color w:val="0F172A"/>
          <w:sz w:val="22"/>
        </w:rPr>
        <w:t>: 6 splits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Total Terminating Leaf Nodes</w:t>
      </w:r>
      <w:r>
        <w:rPr>
          <w:rFonts w:ascii="Times New Roman" w:hAnsi="Times New Roman"/>
          <w:b w:val="0"/>
          <w:i w:val="0"/>
          <w:color w:val="0F172A"/>
          <w:sz w:val="22"/>
        </w:rPr>
        <w:t>: 11</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Training Set Accuracy</w:t>
      </w:r>
      <w:r>
        <w:rPr>
          <w:rFonts w:ascii="Times New Roman" w:hAnsi="Times New Roman"/>
          <w:b w:val="0"/>
          <w:i w:val="0"/>
          <w:color w:val="0F172A"/>
          <w:sz w:val="22"/>
        </w:rPr>
        <w:t xml:space="preserve">: </w:t>
      </w:r>
      <w:r>
        <w:rPr>
          <w:rFonts w:ascii="Times New Roman" w:hAnsi="Times New Roman"/>
          <w:b/>
          <w:i w:val="0"/>
          <w:color w:val="0F172A"/>
          <w:sz w:val="22"/>
        </w:rPr>
        <w:t>99.72%</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5-Fold Stratified Cross-Validation Accuracy</w:t>
      </w:r>
      <w:r>
        <w:rPr>
          <w:rFonts w:ascii="Times New Roman" w:hAnsi="Times New Roman"/>
          <w:b w:val="0"/>
          <w:i w:val="0"/>
          <w:color w:val="0F172A"/>
          <w:sz w:val="22"/>
        </w:rPr>
        <w:t xml:space="preserve">: </w:t>
      </w:r>
      <w:r>
        <w:rPr>
          <w:rFonts w:ascii="Times New Roman" w:hAnsi="Times New Roman"/>
          <w:b/>
          <w:i w:val="0"/>
          <w:color w:val="0F172A"/>
          <w:sz w:val="22"/>
        </w:rPr>
        <w:t>95.56% (±3.66%)</w:t>
      </w:r>
      <w:r>
        <w:rPr>
          <w:rFonts w:ascii="Times New Roman" w:hAnsi="Times New Roman"/>
          <w:b w:val="0"/>
          <w:i w:val="0"/>
          <w:color w:val="0F172A"/>
          <w:sz w:val="22"/>
        </w:rPr>
      </w:r>
    </w:p>
    <w:p>
      <w:pPr>
        <w:spacing w:line="300" w:lineRule="auto" w:before="0" w:after="160"/>
        <w:jc w:val="both"/>
      </w:pPr>
      <w:r>
        <w:rPr>
          <w:rFonts w:ascii="Times New Roman" w:hAnsi="Times New Roman"/>
          <w:b w:val="0"/>
          <w:i w:val="0"/>
          <w:color w:val="0F172A"/>
          <w:sz w:val="22"/>
        </w:rPr>
        <w:t>The extremely high cross-validation performance confirms that the model generalizes robustly across different sub-cohort partitions of the primary dataset, maintaining strong performance outside of its initial training set.</w:t>
      </w:r>
    </w:p>
    <w:p>
      <w:r>
        <w:br w:type="page"/>
      </w:r>
    </w:p>
    <w:p>
      <w:pPr>
        <w:keepNext/>
        <w:spacing w:line="300" w:lineRule="auto" w:before="280" w:after="120"/>
        <w:jc w:val="left"/>
      </w:pPr>
      <w:r>
        <w:rPr>
          <w:rFonts w:ascii="Montserrat" w:hAnsi="Montserrat"/>
          <w:b/>
          <w:i w:val="0"/>
          <w:color w:val="4F46E5"/>
          <w:sz w:val="24"/>
        </w:rPr>
        <w:t>4.3 Feature Importance Analysis</w:t>
      </w:r>
    </w:p>
    <w:p>
      <w:pPr>
        <w:spacing w:line="300" w:lineRule="auto" w:before="0" w:after="160"/>
        <w:jc w:val="both"/>
      </w:pPr>
      <w:r>
        <w:rPr>
          <w:rFonts w:ascii="Times New Roman" w:hAnsi="Times New Roman"/>
          <w:b w:val="0"/>
          <w:i w:val="0"/>
          <w:color w:val="0F172A"/>
          <w:sz w:val="22"/>
        </w:rPr>
        <w:t>Analyzing feature importances in clinical models is highly valuable. It reveals which physiological indicators have the greatest predictive power for diagnosing Chronic Kidney Disease. The Gini feature importances calculated by the Decision Tree model are outlined below:</w:t>
      </w:r>
    </w:p>
    <w:tbl>
      <w:tblPr>
        <w:tblW w:type="auto" w:w="0"/>
        <w:jc w:val="center"/>
        <w:tblLook w:firstColumn="1" w:firstRow="1" w:lastColumn="0" w:lastRow="0" w:noHBand="0" w:noVBand="1" w:val="04A0"/>
        <w:tblBorders>
          <w:top w:val="single" w:sz="6" w:space="0" w:color="CBD5E1"/>
          <w:bottom w:val="single" w:sz="12" w:space="0" w:color="475569"/>
          <w:left w:val="none"/>
          <w:right w:val="none"/>
          <w:insideH w:val="single" w:sz="4" w:space="0" w:color="E2E8F0"/>
          <w:insideV w:val="none"/>
        </w:tblBorders>
      </w:tblPr>
      <w:tblGrid>
        <w:gridCol w:w="2340"/>
        <w:gridCol w:w="2340"/>
        <w:gridCol w:w="2340"/>
        <w:gridCol w:w="2340"/>
      </w:tblGrid>
      <w:tr>
        <w:tc>
          <w:tcPr>
            <w:tcW w:type="dxa" w:w="2340"/>
            <w:tcMar>
              <w:top w:w="100" w:type="dxa"/>
              <w:bottom w:w="100" w:type="dxa"/>
              <w:left w:w="150" w:type="dxa"/>
              <w:right w:w="150" w:type="dxa"/>
            </w:tcMar>
            <w:shd w:fill="0F172A"/>
          </w:tcPr>
          <w:p>
            <w:pPr>
              <w:jc w:val="left"/>
            </w:pPr>
            <w:r>
              <w:rPr>
                <w:rFonts w:ascii="Montserrat" w:hAnsi="Montserrat"/>
                <w:b/>
                <w:i w:val="0"/>
                <w:color w:val="FFFFFF"/>
                <w:sz w:val="19"/>
              </w:rPr>
              <w:t>Feature Variable</w:t>
            </w:r>
          </w:p>
        </w:tc>
        <w:tc>
          <w:tcPr>
            <w:tcW w:type="dxa" w:w="2340"/>
            <w:tcMar>
              <w:top w:w="100" w:type="dxa"/>
              <w:bottom w:w="100" w:type="dxa"/>
              <w:left w:w="150" w:type="dxa"/>
              <w:right w:w="150" w:type="dxa"/>
            </w:tcMar>
            <w:shd w:fill="0F172A"/>
          </w:tcPr>
          <w:p>
            <w:pPr>
              <w:jc w:val="left"/>
            </w:pPr>
            <w:r>
              <w:rPr>
                <w:rFonts w:ascii="Montserrat" w:hAnsi="Montserrat"/>
                <w:b/>
                <w:i w:val="0"/>
                <w:color w:val="FFFFFF"/>
                <w:sz w:val="19"/>
              </w:rPr>
              <w:t>Gini Importance</w:t>
            </w:r>
          </w:p>
        </w:tc>
        <w:tc>
          <w:tcPr>
            <w:tcW w:type="dxa" w:w="2340"/>
            <w:tcMar>
              <w:top w:w="100" w:type="dxa"/>
              <w:bottom w:w="100" w:type="dxa"/>
              <w:left w:w="150" w:type="dxa"/>
              <w:right w:w="150" w:type="dxa"/>
            </w:tcMar>
            <w:shd w:fill="0F172A"/>
          </w:tcPr>
          <w:p>
            <w:pPr>
              <w:jc w:val="left"/>
            </w:pPr>
            <w:r>
              <w:rPr>
                <w:rFonts w:ascii="Montserrat" w:hAnsi="Montserrat"/>
                <w:b/>
                <w:i w:val="0"/>
                <w:color w:val="FFFFFF"/>
                <w:sz w:val="19"/>
              </w:rPr>
              <w:t>Cumulative Significance</w:t>
            </w:r>
          </w:p>
        </w:tc>
        <w:tc>
          <w:tcPr>
            <w:tcW w:type="dxa" w:w="2340"/>
            <w:tcMar>
              <w:top w:w="100" w:type="dxa"/>
              <w:bottom w:w="100" w:type="dxa"/>
              <w:left w:w="150" w:type="dxa"/>
              <w:right w:w="150" w:type="dxa"/>
            </w:tcMar>
            <w:shd w:fill="0F172A"/>
          </w:tcPr>
          <w:p>
            <w:pPr>
              <w:jc w:val="left"/>
            </w:pPr>
            <w:r>
              <w:rPr>
                <w:rFonts w:ascii="Montserrat" w:hAnsi="Montserrat"/>
                <w:b/>
                <w:i w:val="0"/>
                <w:color w:val="FFFFFF"/>
                <w:sz w:val="19"/>
              </w:rPr>
              <w:t>Description</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Hemoglobin (`hemo`)</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0.7177 (71.77%)</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71.77%</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Red blood cell oxygen carrier protein</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Specific Gravity (`sg`)</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0.1950 (19.50%)</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91.27%</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Urinalysis concentration ratio</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Albumin (`al`)</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0.0235 (2.35%)</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93.62%</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Dipstick urine protein indicator</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Blood Urea (`bu`)</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0.0227 (2.27%)</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95.89%</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Nitrogenous waste byproduct</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Age (`age`)</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0.0218 (2.18%)</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98.07%</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Patient chronological age</w:t>
            </w:r>
          </w:p>
        </w:tc>
      </w:tr>
      <w:tr>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Serum Creatinine (`sc`)</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0.0194 (1.94%)</w:t>
            </w:r>
            <w:r>
              <w:rPr>
                <w:rFonts w:ascii="Times New Roman" w:hAnsi="Times New Roman"/>
                <w:b w:val="0"/>
                <w:i w:val="0"/>
                <w:color w:val="0F172A"/>
                <w:sz w:val="19"/>
              </w:rPr>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100.00%</w:t>
            </w:r>
          </w:p>
        </w:tc>
        <w:tc>
          <w:tcPr>
            <w:tcW w:type="dxa" w:w="234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Primary muscular waste biomarker</w:t>
            </w:r>
          </w:p>
        </w:tc>
      </w:tr>
    </w:tbl>
    <w:p>
      <w:pPr>
        <w:keepNext/>
        <w:spacing w:line="300" w:lineRule="auto" w:before="200" w:after="80"/>
        <w:jc w:val="left"/>
      </w:pPr>
      <w:r>
        <w:rPr>
          <w:rFonts w:ascii="Times New Roman" w:hAnsi="Times New Roman"/>
          <w:b/>
          <w:i/>
          <w:color w:val="0F172A"/>
          <w:sz w:val="22"/>
        </w:rPr>
        <w:t>4.3.1 Clinical Discussion of Primary Predictive Features</w:t>
      </w:r>
    </w:p>
    <w:p>
      <w:pPr>
        <w:pStyle w:val="ListBullet"/>
        <w:spacing w:line="300" w:lineRule="auto" w:before="40" w:after="40"/>
        <w:ind w:left="576"/>
        <w:jc w:val="left"/>
      </w:pPr>
      <w:r>
        <w:rPr>
          <w:rFonts w:ascii="Times New Roman" w:hAnsi="Times New Roman"/>
          <w:b w:val="0"/>
          <w:i w:val="0"/>
          <w:color w:val="0F172A"/>
          <w:sz w:val="22"/>
        </w:rPr>
        <w:t xml:space="preserve">1.  </w:t>
      </w:r>
      <w:r>
        <w:rPr>
          <w:rFonts w:ascii="Times New Roman" w:hAnsi="Times New Roman"/>
          <w:b/>
          <w:i w:val="0"/>
          <w:color w:val="0F172A"/>
          <w:sz w:val="22"/>
        </w:rPr>
        <w:t>Hemoglobin (71.77%)</w:t>
      </w:r>
      <w:r>
        <w:rPr>
          <w:rFonts w:ascii="Times New Roman" w:hAnsi="Times New Roman"/>
          <w:b w:val="0"/>
          <w:i w:val="0"/>
          <w:color w:val="0F172A"/>
          <w:sz w:val="22"/>
        </w:rPr>
        <w:t xml:space="preserve">: The dominant predictive value of hemoglobin is highly aligned with clinical pathophysiology. As chronic kidney disease progresses, structural damage to the renal interstitium degrades the specialized peritubular capillary cells responsible for producing </w:t>
      </w:r>
      <w:r>
        <w:rPr>
          <w:rFonts w:ascii="Times New Roman" w:hAnsi="Times New Roman"/>
          <w:b/>
          <w:i w:val="0"/>
          <w:color w:val="0F172A"/>
          <w:sz w:val="22"/>
        </w:rPr>
        <w:t>Erythropoietin (EPO)</w:t>
      </w:r>
      <w:r>
        <w:rPr>
          <w:rFonts w:ascii="Times New Roman" w:hAnsi="Times New Roman"/>
          <w:b w:val="0"/>
          <w:i w:val="0"/>
          <w:color w:val="0F172A"/>
          <w:sz w:val="22"/>
        </w:rPr>
        <w:t xml:space="preserve">. A drop in EPO synthesis reduces red blood cell production, leading to </w:t>
      </w:r>
      <w:r>
        <w:rPr>
          <w:rFonts w:ascii="Times New Roman" w:hAnsi="Times New Roman"/>
          <w:b/>
          <w:i w:val="0"/>
          <w:color w:val="0F172A"/>
          <w:sz w:val="22"/>
        </w:rPr>
        <w:t>renal anemia</w:t>
      </w:r>
      <w:r>
        <w:rPr>
          <w:rFonts w:ascii="Times New Roman" w:hAnsi="Times New Roman"/>
          <w:b w:val="0"/>
          <w:i w:val="0"/>
          <w:color w:val="0F172A"/>
          <w:sz w:val="22"/>
        </w:rPr>
        <w:t>. Since this decline is directly tied to the functional mass of the kidneys, hemoglobin is an exceptionally strong, early physiological marker of chronic kidney damage.</w:t>
      </w:r>
    </w:p>
    <w:p>
      <w:pPr>
        <w:pStyle w:val="ListBullet"/>
        <w:spacing w:line="300" w:lineRule="auto" w:before="40" w:after="40"/>
        <w:ind w:left="576"/>
        <w:jc w:val="left"/>
      </w:pPr>
      <w:r>
        <w:rPr>
          <w:rFonts w:ascii="Times New Roman" w:hAnsi="Times New Roman"/>
          <w:b w:val="0"/>
          <w:i w:val="0"/>
          <w:color w:val="0F172A"/>
          <w:sz w:val="22"/>
        </w:rPr>
        <w:t xml:space="preserve">2.  </w:t>
      </w:r>
      <w:r>
        <w:rPr>
          <w:rFonts w:ascii="Times New Roman" w:hAnsi="Times New Roman"/>
          <w:b/>
          <w:i w:val="0"/>
          <w:color w:val="0F172A"/>
          <w:sz w:val="22"/>
        </w:rPr>
        <w:t>Specific Gravity (19.50%)</w:t>
      </w:r>
      <w:r>
        <w:rPr>
          <w:rFonts w:ascii="Times New Roman" w:hAnsi="Times New Roman"/>
          <w:b w:val="0"/>
          <w:i w:val="0"/>
          <w:color w:val="0F172A"/>
          <w:sz w:val="22"/>
        </w:rPr>
        <w:t>: This indicator reflects the concentration-dilution capacity of the renal tubules. Tubular atrophy and interstitial fibrosis impair the kidneys' ability to concentrate urine. This leads to a persistently fixed specific gravity (isosthenuria, typically around 1.010), representing a clear indicator of structural tubular injury.</w:t>
      </w:r>
    </w:p>
    <w:p>
      <w:pPr>
        <w:pStyle w:val="ListBullet"/>
        <w:spacing w:line="300" w:lineRule="auto" w:before="40" w:after="40"/>
        <w:ind w:left="576"/>
        <w:jc w:val="left"/>
      </w:pPr>
      <w:r>
        <w:rPr>
          <w:rFonts w:ascii="Times New Roman" w:hAnsi="Times New Roman"/>
          <w:b w:val="0"/>
          <w:i w:val="0"/>
          <w:color w:val="0F172A"/>
          <w:sz w:val="22"/>
        </w:rPr>
        <w:t xml:space="preserve">3.  </w:t>
      </w:r>
      <w:r>
        <w:rPr>
          <w:rFonts w:ascii="Times New Roman" w:hAnsi="Times New Roman"/>
          <w:b/>
          <w:i w:val="0"/>
          <w:color w:val="0F172A"/>
          <w:sz w:val="22"/>
        </w:rPr>
        <w:t>Albumin (2.35%)</w:t>
      </w:r>
      <w:r>
        <w:rPr>
          <w:rFonts w:ascii="Times New Roman" w:hAnsi="Times New Roman"/>
          <w:b w:val="0"/>
          <w:i w:val="0"/>
          <w:color w:val="0F172A"/>
          <w:sz w:val="22"/>
        </w:rPr>
        <w:t>: Urinalysis findings showing persistent leakage of albumin into urine are direct indicators of structural damage to the glomerular filtration barrier. It highlights basement membrane damage and podocyte depletion.</w:t>
      </w:r>
    </w:p>
    <w:p>
      <w:r>
        <w:br w:type="page"/>
      </w:r>
    </w:p>
    <w:p>
      <w:pPr>
        <w:keepNext/>
        <w:spacing w:line="300" w:lineRule="auto" w:before="280" w:after="120"/>
        <w:jc w:val="left"/>
      </w:pPr>
      <w:r>
        <w:rPr>
          <w:rFonts w:ascii="Montserrat" w:hAnsi="Montserrat"/>
          <w:b/>
          <w:i w:val="0"/>
          <w:color w:val="4F46E5"/>
          <w:sz w:val="24"/>
        </w:rPr>
        <w:t>4.4 Model Validation and Evaluation on Test Set</w:t>
      </w:r>
    </w:p>
    <w:p>
      <w:pPr>
        <w:spacing w:line="300" w:lineRule="auto" w:before="0" w:after="160"/>
        <w:jc w:val="both"/>
      </w:pPr>
      <w:r>
        <w:rPr>
          <w:rFonts w:ascii="Times New Roman" w:hAnsi="Times New Roman"/>
          <w:b w:val="0"/>
          <w:i w:val="0"/>
          <w:color w:val="0F172A"/>
          <w:sz w:val="22"/>
        </w:rPr>
        <w:t xml:space="preserve">To validate the model's accuracy on unseen clinical cases, a separate </w:t>
      </w:r>
      <w:r>
        <w:rPr>
          <w:rFonts w:ascii="Times New Roman" w:hAnsi="Times New Roman"/>
          <w:b/>
          <w:i w:val="0"/>
          <w:color w:val="0F172A"/>
          <w:sz w:val="22"/>
        </w:rPr>
        <w:t>test dataset</w:t>
      </w:r>
      <w:r>
        <w:rPr>
          <w:rFonts w:ascii="Times New Roman" w:hAnsi="Times New Roman"/>
          <w:b w:val="0"/>
          <w:i w:val="0"/>
          <w:color w:val="0F172A"/>
          <w:sz w:val="22"/>
        </w:rPr>
        <w:t xml:space="preserve"> of 40 patient records was evaluated. This cohort contained 25 diagnosed CKD patients and 15 healthy controls.</w:t>
      </w:r>
    </w:p>
    <w:p>
      <w:pPr>
        <w:spacing w:line="300" w:lineRule="auto" w:before="0" w:after="160"/>
        <w:jc w:val="both"/>
      </w:pPr>
      <w:r>
        <w:rPr>
          <w:rFonts w:ascii="Times New Roman" w:hAnsi="Times New Roman"/>
          <w:b w:val="0"/>
          <w:i w:val="0"/>
          <w:color w:val="0F172A"/>
          <w:sz w:val="22"/>
        </w:rPr>
        <w:t>The model achieved highly successful results, returning the following performance metrics: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Test Classification Accuracy</w:t>
      </w:r>
      <w:r>
        <w:rPr>
          <w:rFonts w:ascii="Times New Roman" w:hAnsi="Times New Roman"/>
          <w:b w:val="0"/>
          <w:i w:val="0"/>
          <w:color w:val="0F172A"/>
          <w:sz w:val="22"/>
        </w:rPr>
        <w:t xml:space="preserve">: </w:t>
      </w:r>
      <w:r>
        <w:rPr>
          <w:rFonts w:ascii="Times New Roman" w:hAnsi="Times New Roman"/>
          <w:b/>
          <w:i w:val="0"/>
          <w:color w:val="0F172A"/>
          <w:sz w:val="22"/>
        </w:rPr>
        <w:t>97.50%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Precision (Positive Predictive Value)</w:t>
      </w:r>
      <w:r>
        <w:rPr>
          <w:rFonts w:ascii="Times New Roman" w:hAnsi="Times New Roman"/>
          <w:b w:val="0"/>
          <w:i w:val="0"/>
          <w:color w:val="0F172A"/>
          <w:sz w:val="22"/>
        </w:rPr>
        <w:t xml:space="preserve">: </w:t>
      </w:r>
      <w:r>
        <w:rPr>
          <w:rFonts w:ascii="Times New Roman" w:hAnsi="Times New Roman"/>
          <w:b/>
          <w:i w:val="0"/>
          <w:color w:val="0F172A"/>
          <w:sz w:val="22"/>
        </w:rPr>
        <w:t>100.00%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Recall / Sensitivity</w:t>
      </w:r>
      <w:r>
        <w:rPr>
          <w:rFonts w:ascii="Times New Roman" w:hAnsi="Times New Roman"/>
          <w:b w:val="0"/>
          <w:i w:val="0"/>
          <w:color w:val="0F172A"/>
          <w:sz w:val="22"/>
        </w:rPr>
        <w:t xml:space="preserve">: </w:t>
      </w:r>
      <w:r>
        <w:rPr>
          <w:rFonts w:ascii="Times New Roman" w:hAnsi="Times New Roman"/>
          <w:b/>
          <w:i w:val="0"/>
          <w:color w:val="0F172A"/>
          <w:sz w:val="22"/>
        </w:rPr>
        <w:t>96.00%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Specificity (True Negative Rate)</w:t>
      </w:r>
      <w:r>
        <w:rPr>
          <w:rFonts w:ascii="Times New Roman" w:hAnsi="Times New Roman"/>
          <w:b w:val="0"/>
          <w:i w:val="0"/>
          <w:color w:val="0F172A"/>
          <w:sz w:val="22"/>
        </w:rPr>
        <w:t xml:space="preserve">: </w:t>
      </w:r>
      <w:r>
        <w:rPr>
          <w:rFonts w:ascii="Times New Roman" w:hAnsi="Times New Roman"/>
          <w:b/>
          <w:i w:val="0"/>
          <w:color w:val="0F172A"/>
          <w:sz w:val="22"/>
        </w:rPr>
        <w:t>100.00%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F1-Score</w:t>
      </w:r>
      <w:r>
        <w:rPr>
          <w:rFonts w:ascii="Times New Roman" w:hAnsi="Times New Roman"/>
          <w:b w:val="0"/>
          <w:i w:val="0"/>
          <w:color w:val="0F172A"/>
          <w:sz w:val="22"/>
        </w:rPr>
        <w:t xml:space="preserve">: </w:t>
      </w:r>
      <w:r>
        <w:rPr>
          <w:rFonts w:ascii="Times New Roman" w:hAnsi="Times New Roman"/>
          <w:b/>
          <w:i w:val="0"/>
          <w:color w:val="0F172A"/>
          <w:sz w:val="22"/>
        </w:rPr>
        <w:t>97.96%</w:t>
      </w:r>
      <w:r>
        <w:rPr>
          <w:rFonts w:ascii="Times New Roman" w:hAnsi="Times New Roman"/>
          <w:b w:val="0"/>
          <w:i w:val="0"/>
          <w:color w:val="0F172A"/>
          <w:sz w:val="22"/>
        </w:rPr>
      </w:r>
    </w:p>
    <w:p>
      <w:pPr>
        <w:keepNext/>
        <w:spacing w:line="300" w:lineRule="auto" w:before="200" w:after="80"/>
        <w:jc w:val="left"/>
      </w:pPr>
      <w:r>
        <w:rPr>
          <w:rFonts w:ascii="Times New Roman" w:hAnsi="Times New Roman"/>
          <w:b/>
          <w:i/>
          <w:color w:val="0F172A"/>
          <w:sz w:val="22"/>
        </w:rPr>
        <w:t>4.4.1 Confusion Matrix Analysis</w:t>
      </w:r>
    </w:p>
    <w:p>
      <w:pPr>
        <w:spacing w:line="300" w:lineRule="auto" w:before="0" w:after="160"/>
        <w:jc w:val="both"/>
      </w:pPr>
      <w:r>
        <w:rPr>
          <w:rFonts w:ascii="Times New Roman" w:hAnsi="Times New Roman"/>
          <w:b w:val="0"/>
          <w:i w:val="0"/>
          <w:color w:val="0F172A"/>
          <w:sz w:val="22"/>
        </w:rPr>
        <w:t>The confusion matrix illustrates the distribution of true versus predicted classifications:</w:t>
      </w:r>
    </w:p>
    <w:tbl>
      <w:tblPr>
        <w:tblW w:type="auto" w:w="0"/>
        <w:jc w:val="center"/>
        <w:tblLook w:firstColumn="1" w:firstRow="1" w:lastColumn="0" w:lastRow="0" w:noHBand="0" w:noVBand="1" w:val="04A0"/>
        <w:tblBorders>
          <w:top w:val="single" w:sz="6" w:space="0" w:color="CBD5E1"/>
          <w:bottom w:val="single" w:sz="12" w:space="0" w:color="475569"/>
          <w:left w:val="none"/>
          <w:right w:val="none"/>
          <w:insideH w:val="single" w:sz="4" w:space="0" w:color="E2E8F0"/>
          <w:insideV w:val="none"/>
        </w:tblBorders>
      </w:tblPr>
      <w:tblGrid>
        <w:gridCol w:w="3120"/>
        <w:gridCol w:w="3120"/>
        <w:gridCol w:w="3120"/>
      </w:tblGrid>
      <w:tr>
        <w:tc>
          <w:tcPr>
            <w:tcW w:type="dxa" w:w="3120"/>
            <w:tcMar>
              <w:top w:w="100" w:type="dxa"/>
              <w:bottom w:w="100" w:type="dxa"/>
              <w:left w:w="150" w:type="dxa"/>
              <w:right w:w="150" w:type="dxa"/>
            </w:tcMar>
            <w:shd w:fill="0F172A"/>
          </w:tcPr>
          <w:p>
            <w:pPr>
              <w:jc w:val="left"/>
            </w:pPr>
            <w:r>
              <w:rPr>
                <w:rFonts w:ascii="Montserrat" w:hAnsi="Montserrat"/>
                <w:b/>
                <w:i w:val="0"/>
                <w:color w:val="FFFFFF"/>
                <w:sz w:val="19"/>
              </w:rPr>
              <w:t>Predicted Class</w:t>
            </w:r>
          </w:p>
        </w:tc>
        <w:tc>
          <w:tcPr>
            <w:tcW w:type="dxa" w:w="3120"/>
            <w:tcMar>
              <w:top w:w="100" w:type="dxa"/>
              <w:bottom w:w="100" w:type="dxa"/>
              <w:left w:w="150" w:type="dxa"/>
              <w:right w:w="150" w:type="dxa"/>
            </w:tcMar>
            <w:shd w:fill="0F172A"/>
          </w:tcPr>
          <w:p>
            <w:pPr>
              <w:jc w:val="left"/>
            </w:pPr>
            <w:r>
              <w:rPr>
                <w:rFonts w:ascii="Montserrat" w:hAnsi="Montserrat"/>
                <w:b/>
                <w:i w:val="0"/>
                <w:color w:val="FFFFFF"/>
                <w:sz w:val="19"/>
              </w:rPr>
              <w:t>Actual CKD Positive (25)</w:t>
            </w:r>
          </w:p>
        </w:tc>
        <w:tc>
          <w:tcPr>
            <w:tcW w:type="dxa" w:w="3120"/>
            <w:tcMar>
              <w:top w:w="100" w:type="dxa"/>
              <w:bottom w:w="100" w:type="dxa"/>
              <w:left w:w="150" w:type="dxa"/>
              <w:right w:w="150" w:type="dxa"/>
            </w:tcMar>
            <w:shd w:fill="0F172A"/>
          </w:tcPr>
          <w:p>
            <w:pPr>
              <w:jc w:val="left"/>
            </w:pPr>
            <w:r>
              <w:rPr>
                <w:rFonts w:ascii="Montserrat" w:hAnsi="Montserrat"/>
                <w:b/>
                <w:i w:val="0"/>
                <w:color w:val="FFFFFF"/>
                <w:sz w:val="19"/>
              </w:rPr>
              <w:t>Actual Healthy (15)</w:t>
            </w:r>
          </w:p>
        </w:tc>
      </w:tr>
      <w:tr>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t>:---</w:t>
            </w:r>
          </w:p>
        </w:tc>
      </w:tr>
      <w:tr>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Predicted CKD</w:t>
            </w:r>
            <w:r>
              <w:rPr>
                <w:rFonts w:ascii="Times New Roman" w:hAnsi="Times New Roman"/>
                <w:b w:val="0"/>
                <w:i w:val="0"/>
                <w:color w:val="0F172A"/>
                <w:sz w:val="19"/>
              </w:rPr>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24 (True Positive - TP)</w:t>
            </w:r>
            <w:r>
              <w:rPr>
                <w:rFonts w:ascii="Times New Roman" w:hAnsi="Times New Roman"/>
                <w:b w:val="0"/>
                <w:i w:val="0"/>
                <w:color w:val="0F172A"/>
                <w:sz w:val="19"/>
              </w:rPr>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0 (False Positive - FP)</w:t>
            </w:r>
            <w:r>
              <w:rPr>
                <w:rFonts w:ascii="Times New Roman" w:hAnsi="Times New Roman"/>
                <w:b w:val="0"/>
                <w:i w:val="0"/>
                <w:color w:val="0F172A"/>
                <w:sz w:val="19"/>
              </w:rPr>
            </w:r>
          </w:p>
        </w:tc>
      </w:tr>
      <w:tr>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Predicted Healthy</w:t>
            </w:r>
            <w:r>
              <w:rPr>
                <w:rFonts w:ascii="Times New Roman" w:hAnsi="Times New Roman"/>
                <w:b w:val="0"/>
                <w:i w:val="0"/>
                <w:color w:val="0F172A"/>
                <w:sz w:val="19"/>
              </w:rPr>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1 (False Negative - FN)</w:t>
            </w:r>
            <w:r>
              <w:rPr>
                <w:rFonts w:ascii="Times New Roman" w:hAnsi="Times New Roman"/>
                <w:b w:val="0"/>
                <w:i w:val="0"/>
                <w:color w:val="0F172A"/>
                <w:sz w:val="19"/>
              </w:rPr>
            </w:r>
          </w:p>
        </w:tc>
        <w:tc>
          <w:tcPr>
            <w:tcW w:type="dxa" w:w="3120"/>
            <w:tcMar>
              <w:top w:w="100" w:type="dxa"/>
              <w:bottom w:w="100" w:type="dxa"/>
              <w:left w:w="150" w:type="dxa"/>
              <w:right w:w="150" w:type="dxa"/>
            </w:tcMar>
          </w:tcPr>
          <w:p>
            <w:pPr>
              <w:spacing w:line="276" w:lineRule="auto"/>
              <w:jc w:val="left"/>
            </w:pPr>
            <w:r>
              <w:rPr>
                <w:rFonts w:ascii="Times New Roman" w:hAnsi="Times New Roman"/>
                <w:b w:val="0"/>
                <w:i w:val="0"/>
                <w:color w:val="0F172A"/>
                <w:sz w:val="19"/>
              </w:rPr>
            </w:r>
            <w:r>
              <w:rPr>
                <w:rFonts w:ascii="Times New Roman" w:hAnsi="Times New Roman"/>
                <w:b/>
                <w:i w:val="0"/>
                <w:color w:val="0F172A"/>
                <w:sz w:val="19"/>
              </w:rPr>
              <w:t>15 (True Negative - TN)</w:t>
            </w:r>
            <w:r>
              <w:rPr>
                <w:rFonts w:ascii="Times New Roman" w:hAnsi="Times New Roman"/>
                <w:b w:val="0"/>
                <w:i w:val="0"/>
                <w:color w:val="0F172A"/>
                <w:sz w:val="19"/>
              </w:rPr>
            </w:r>
          </w:p>
        </w:tc>
      </w:tr>
    </w:tbl>
    <w:p>
      <w:pPr>
        <w:keepNext/>
        <w:spacing w:line="300" w:lineRule="auto" w:before="200" w:after="80"/>
        <w:jc w:val="left"/>
      </w:pPr>
      <w:r>
        <w:rPr>
          <w:rFonts w:ascii="Times New Roman" w:hAnsi="Times New Roman"/>
          <w:b/>
          <w:i/>
          <w:color w:val="0F172A"/>
          <w:sz w:val="22"/>
        </w:rPr>
        <w:t>4.4.2 Clinical Interpretation of Metrics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Perfect Specificity (100.00%) &amp; Precision (100.00%)</w:t>
      </w:r>
      <w:r>
        <w:rPr>
          <w:rFonts w:ascii="Times New Roman" w:hAnsi="Times New Roman"/>
          <w:b w:val="0"/>
          <w:i w:val="0"/>
          <w:color w:val="0F172A"/>
          <w:sz w:val="22"/>
        </w:rPr>
        <w:t xml:space="preserve">: The model generated </w:t>
      </w:r>
      <w:r>
        <w:rPr>
          <w:rFonts w:ascii="Times New Roman" w:hAnsi="Times New Roman"/>
          <w:b/>
          <w:i w:val="0"/>
          <w:color w:val="0F172A"/>
          <w:sz w:val="22"/>
        </w:rPr>
        <w:t>zero False Positives</w:t>
      </w:r>
      <w:r>
        <w:rPr>
          <w:rFonts w:ascii="Times New Roman" w:hAnsi="Times New Roman"/>
          <w:b w:val="0"/>
          <w:i w:val="0"/>
          <w:color w:val="0F172A"/>
          <w:sz w:val="22"/>
        </w:rPr>
        <w:t>. In a clinical setting, this is highly valuable as it prevents healthy individuals from experiencing unnecessary emotional stress, invasive diagnostic follow-ups, and unwarranted treatment costs.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High Sensitivity (96.00%)</w:t>
      </w:r>
      <w:r>
        <w:rPr>
          <w:rFonts w:ascii="Times New Roman" w:hAnsi="Times New Roman"/>
          <w:b w:val="0"/>
          <w:i w:val="0"/>
          <w:color w:val="0F172A"/>
          <w:sz w:val="22"/>
        </w:rPr>
        <w:t>: The model successfully identified 24 out of 25 true CKD cases, producing only a single False Negative. In screening software, maintaining high sensitivity is critical to ensure patients with progressive, silent diseases are not missed during routine clinical checkups.</w:t>
      </w:r>
    </w:p>
    <w:p>
      <w:r>
        <w:br w:type="page"/>
      </w:r>
    </w:p>
    <w:p>
      <w:pPr>
        <w:keepNext/>
        <w:spacing w:line="300" w:lineRule="auto" w:before="280" w:after="120"/>
        <w:jc w:val="left"/>
      </w:pPr>
      <w:r>
        <w:rPr>
          <w:rFonts w:ascii="Montserrat" w:hAnsi="Montserrat"/>
          <w:b/>
          <w:i w:val="0"/>
          <w:color w:val="4F46E5"/>
          <w:sz w:val="24"/>
        </w:rPr>
        <w:t>4.5 System Demonstration &amp; Case Studies</w:t>
      </w:r>
    </w:p>
    <w:p>
      <w:pPr>
        <w:spacing w:line="300" w:lineRule="auto" w:before="0" w:after="160"/>
        <w:jc w:val="both"/>
      </w:pPr>
      <w:r>
        <w:rPr>
          <w:rFonts w:ascii="Times New Roman" w:hAnsi="Times New Roman"/>
          <w:b w:val="0"/>
          <w:i w:val="0"/>
          <w:color w:val="0F172A"/>
          <w:sz w:val="22"/>
        </w:rPr>
        <w:t>The clinical value of the system is demonstrated through its execution of diverse, real-world patient case studies, combining deterministic staging, predictive model scoring, and Gemini-guided clinical advice.</w:t>
      </w:r>
    </w:p>
    <w:p>
      <w:pPr>
        <w:keepNext/>
        <w:spacing w:line="300" w:lineRule="auto" w:before="200" w:after="80"/>
        <w:jc w:val="left"/>
      </w:pPr>
      <w:r>
        <w:rPr>
          <w:rFonts w:ascii="Times New Roman" w:hAnsi="Times New Roman"/>
          <w:b/>
          <w:i/>
          <w:color w:val="0F172A"/>
          <w:sz w:val="22"/>
        </w:rPr>
        <w:t>4.5.1 Diagnostic Case Study 1: Early-Stage Diabetic Nephropathy</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Patient Profile</w:t>
      </w:r>
      <w:r>
        <w:rPr>
          <w:rFonts w:ascii="Times New Roman" w:hAnsi="Times New Roman"/>
          <w:b w:val="0"/>
          <w:i w:val="0"/>
          <w:color w:val="0F172A"/>
          <w:sz w:val="22"/>
        </w:rPr>
        <w:t>: Female, 54 years old, history of diabetes mellitus.</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Laboratory Values</w:t>
      </w:r>
      <w:r>
        <w:rPr>
          <w:rFonts w:ascii="Times New Roman" w:hAnsi="Times New Roman"/>
          <w:b w:val="0"/>
          <w:i w:val="0"/>
          <w:color w:val="0F172A"/>
          <w:sz w:val="22"/>
        </w:rPr>
        <w:t>: Serum Creatinine: 1.1 mg/dL, Urine ACR: 120.0 mg/g (Albumin Dipstick: 1+).</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Deterministic Evaluation</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Computed eGFR: 69.17 mL/min/1.73 m² (GFR Stage: </w:t>
      </w:r>
      <w:r>
        <w:rPr>
          <w:rFonts w:ascii="Times New Roman" w:hAnsi="Times New Roman"/>
          <w:b/>
          <w:i w:val="0"/>
          <w:color w:val="0F172A"/>
          <w:sz w:val="22"/>
        </w:rPr>
        <w:t>G2</w:t>
      </w:r>
      <w:r>
        <w:rPr>
          <w:rFonts w:ascii="Times New Roman" w:hAnsi="Times New Roman"/>
          <w:b w:val="0"/>
          <w:i w:val="0"/>
          <w:color w:val="0F172A"/>
          <w:sz w:val="22"/>
        </w:rPr>
        <w:t>, Mildly decreased).</w:t>
      </w:r>
    </w:p>
    <w:p>
      <w:pPr>
        <w:pStyle w:val="ListBullet"/>
        <w:spacing w:line="300" w:lineRule="auto" w:before="40" w:after="40"/>
        <w:ind w:left="576"/>
        <w:jc w:val="left"/>
      </w:pPr>
      <w:r>
        <w:rPr>
          <w:rFonts w:ascii="Times New Roman" w:hAnsi="Times New Roman"/>
          <w:b w:val="0"/>
          <w:i w:val="0"/>
          <w:color w:val="0F172A"/>
          <w:sz w:val="22"/>
        </w:rPr>
        <w:t xml:space="preserve">  Albuminuria Category: </w:t>
      </w:r>
      <w:r>
        <w:rPr>
          <w:rFonts w:ascii="Times New Roman" w:hAnsi="Times New Roman"/>
          <w:b/>
          <w:i w:val="0"/>
          <w:color w:val="0F172A"/>
          <w:sz w:val="22"/>
        </w:rPr>
        <w:t>A2</w:t>
      </w:r>
      <w:r>
        <w:rPr>
          <w:rFonts w:ascii="Times New Roman" w:hAnsi="Times New Roman"/>
          <w:b w:val="0"/>
          <w:i w:val="0"/>
          <w:color w:val="0F172A"/>
          <w:sz w:val="22"/>
        </w:rPr>
        <w:t xml:space="preserve"> (Moderately increased).</w:t>
      </w:r>
    </w:p>
    <w:p>
      <w:pPr>
        <w:pStyle w:val="ListBullet"/>
        <w:spacing w:line="300" w:lineRule="auto" w:before="40" w:after="40"/>
        <w:ind w:left="576"/>
        <w:jc w:val="left"/>
      </w:pPr>
      <w:r>
        <w:rPr>
          <w:rFonts w:ascii="Times New Roman" w:hAnsi="Times New Roman"/>
          <w:b w:val="0"/>
          <w:i w:val="0"/>
          <w:color w:val="0F172A"/>
          <w:sz w:val="22"/>
        </w:rPr>
        <w:t xml:space="preserve">  KDIGO Staging: </w:t>
      </w:r>
      <w:r>
        <w:rPr>
          <w:rFonts w:ascii="Times New Roman" w:hAnsi="Times New Roman"/>
          <w:b/>
          <w:i w:val="0"/>
          <w:color w:val="0F172A"/>
          <w:sz w:val="22"/>
        </w:rPr>
        <w:t>G2/A2</w:t>
      </w:r>
      <w:r>
        <w:rPr>
          <w:rFonts w:ascii="Times New Roman" w:hAnsi="Times New Roman"/>
          <w:b w:val="0"/>
          <w:i w:val="0"/>
          <w:color w:val="0F172A"/>
          <w:sz w:val="22"/>
        </w:rPr>
        <w:t xml:space="preserve"> $</w:t>
      </w:r>
    </w:p>
    <w:p>
      <w:pPr>
        <w:spacing w:line="300" w:lineRule="auto" w:before="0" w:after="160"/>
        <w:jc w:val="both"/>
      </w:pPr>
      <w:r>
        <w:rPr>
          <w:rFonts w:ascii="Times New Roman" w:hAnsi="Times New Roman"/>
          <w:b w:val="0"/>
          <w:i w:val="0"/>
          <w:color w:val="0F172A"/>
          <w:sz w:val="22"/>
        </w:rPr>
        <w:t xml:space="preserve">ightarrow$ </w:t>
      </w:r>
      <w:r>
        <w:rPr>
          <w:rFonts w:ascii="Times New Roman" w:hAnsi="Times New Roman"/>
          <w:b/>
          <w:i w:val="0"/>
          <w:color w:val="0F172A"/>
          <w:sz w:val="22"/>
        </w:rPr>
        <w:t>Moderate Risk</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Machine Learning Classifier Evaluation</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Prediction: </w:t>
      </w:r>
      <w:r>
        <w:rPr>
          <w:rFonts w:ascii="Times New Roman" w:hAnsi="Times New Roman"/>
          <w:b/>
          <w:i w:val="0"/>
          <w:color w:val="0F172A"/>
          <w:sz w:val="22"/>
        </w:rPr>
        <w:t>CKD Detected</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Inference Confidence: </w:t>
      </w:r>
      <w:r>
        <w:rPr>
          <w:rFonts w:ascii="Times New Roman" w:hAnsi="Times New Roman"/>
          <w:b/>
          <w:i w:val="0"/>
          <w:color w:val="0F172A"/>
          <w:sz w:val="22"/>
        </w:rPr>
        <w:t>100.0%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AI Advisory Output</w:t>
      </w:r>
      <w:r>
        <w:rPr>
          <w:rFonts w:ascii="Times New Roman" w:hAnsi="Times New Roman"/>
          <w:b w:val="0"/>
          <w:i w:val="0"/>
          <w:color w:val="0F172A"/>
          <w:sz w:val="22"/>
        </w:rPr>
        <w:t>: The Gemini clinical assistant highlighted that while the eGFR indicates only mild functional decline (G2), the presence of moderate albuminuria (A2) in a diabetic patient strongly suggests early-stage diabetic nephropathy. The system recommended initiating an ACE inhibitor or Angiotensin Receptor Blocker (ARB) for renal protection, maintaining tight blood glucose control (HbA1c &lt; 7.0%), and scheduling follow-up monitoring in 6 months.</w:t>
      </w:r>
    </w:p>
    <w:p>
      <w:pPr>
        <w:keepNext/>
        <w:spacing w:line="300" w:lineRule="auto" w:before="200" w:after="80"/>
        <w:jc w:val="left"/>
      </w:pPr>
      <w:r>
        <w:rPr>
          <w:rFonts w:ascii="Times New Roman" w:hAnsi="Times New Roman"/>
          <w:b/>
          <w:i/>
          <w:color w:val="0F172A"/>
          <w:sz w:val="22"/>
        </w:rPr>
        <w:t>4.5.2 Diagnostic Case Study 2: Advanced-Stage Renal Failure</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Patient Profile</w:t>
      </w:r>
      <w:r>
        <w:rPr>
          <w:rFonts w:ascii="Times New Roman" w:hAnsi="Times New Roman"/>
          <w:b w:val="0"/>
          <w:i w:val="0"/>
          <w:color w:val="0F172A"/>
          <w:sz w:val="22"/>
        </w:rPr>
        <w:t>: Male, 68 years old, history of severe hypertension.</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Laboratory Values</w:t>
      </w:r>
      <w:r>
        <w:rPr>
          <w:rFonts w:ascii="Times New Roman" w:hAnsi="Times New Roman"/>
          <w:b w:val="0"/>
          <w:i w:val="0"/>
          <w:color w:val="0F172A"/>
          <w:sz w:val="22"/>
        </w:rPr>
        <w:t>: Serum Creatinine: 4.8 mg/dL, Urine ACR: 450.0 mg/g (Albumin Dipstick: 3+), Hemoglobin: 8.4 g/dL.</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Deterministic Evaluation</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Computed eGFR: 12.35 mL/min/1.73 m² (GFR Stage: </w:t>
      </w:r>
      <w:r>
        <w:rPr>
          <w:rFonts w:ascii="Times New Roman" w:hAnsi="Times New Roman"/>
          <w:b/>
          <w:i w:val="0"/>
          <w:color w:val="0F172A"/>
          <w:sz w:val="22"/>
        </w:rPr>
        <w:t>G5</w:t>
      </w:r>
      <w:r>
        <w:rPr>
          <w:rFonts w:ascii="Times New Roman" w:hAnsi="Times New Roman"/>
          <w:b w:val="0"/>
          <w:i w:val="0"/>
          <w:color w:val="0F172A"/>
          <w:sz w:val="22"/>
        </w:rPr>
        <w:t>, Kidney Failure).</w:t>
      </w:r>
    </w:p>
    <w:p>
      <w:pPr>
        <w:pStyle w:val="ListBullet"/>
        <w:spacing w:line="300" w:lineRule="auto" w:before="40" w:after="40"/>
        <w:ind w:left="576"/>
        <w:jc w:val="left"/>
      </w:pPr>
      <w:r>
        <w:rPr>
          <w:rFonts w:ascii="Times New Roman" w:hAnsi="Times New Roman"/>
          <w:b w:val="0"/>
          <w:i w:val="0"/>
          <w:color w:val="0F172A"/>
          <w:sz w:val="22"/>
        </w:rPr>
        <w:t xml:space="preserve">  Albuminuria Category: </w:t>
      </w:r>
      <w:r>
        <w:rPr>
          <w:rFonts w:ascii="Times New Roman" w:hAnsi="Times New Roman"/>
          <w:b/>
          <w:i w:val="0"/>
          <w:color w:val="0F172A"/>
          <w:sz w:val="22"/>
        </w:rPr>
        <w:t>A3</w:t>
      </w:r>
      <w:r>
        <w:rPr>
          <w:rFonts w:ascii="Times New Roman" w:hAnsi="Times New Roman"/>
          <w:b w:val="0"/>
          <w:i w:val="0"/>
          <w:color w:val="0F172A"/>
          <w:sz w:val="22"/>
        </w:rPr>
        <w:t xml:space="preserve"> (Severely increased).</w:t>
      </w:r>
    </w:p>
    <w:p>
      <w:pPr>
        <w:pStyle w:val="ListBullet"/>
        <w:spacing w:line="300" w:lineRule="auto" w:before="40" w:after="40"/>
        <w:ind w:left="576"/>
        <w:jc w:val="left"/>
      </w:pPr>
      <w:r>
        <w:rPr>
          <w:rFonts w:ascii="Times New Roman" w:hAnsi="Times New Roman"/>
          <w:b w:val="0"/>
          <w:i w:val="0"/>
          <w:color w:val="0F172A"/>
          <w:sz w:val="22"/>
        </w:rPr>
        <w:t xml:space="preserve">  KDIGO Staging: </w:t>
      </w:r>
      <w:r>
        <w:rPr>
          <w:rFonts w:ascii="Times New Roman" w:hAnsi="Times New Roman"/>
          <w:b/>
          <w:i w:val="0"/>
          <w:color w:val="0F172A"/>
          <w:sz w:val="22"/>
        </w:rPr>
        <w:t>G5/A3</w:t>
      </w:r>
      <w:r>
        <w:rPr>
          <w:rFonts w:ascii="Times New Roman" w:hAnsi="Times New Roman"/>
          <w:b w:val="0"/>
          <w:i w:val="0"/>
          <w:color w:val="0F172A"/>
          <w:sz w:val="22"/>
        </w:rPr>
        <w:t xml:space="preserve"> $</w:t>
      </w:r>
    </w:p>
    <w:p>
      <w:pPr>
        <w:spacing w:line="300" w:lineRule="auto" w:before="0" w:after="160"/>
        <w:jc w:val="both"/>
      </w:pPr>
      <w:r>
        <w:rPr>
          <w:rFonts w:ascii="Times New Roman" w:hAnsi="Times New Roman"/>
          <w:b w:val="0"/>
          <w:i w:val="0"/>
          <w:color w:val="0F172A"/>
          <w:sz w:val="22"/>
        </w:rPr>
        <w:t xml:space="preserve">ightarrow$ </w:t>
      </w:r>
      <w:r>
        <w:rPr>
          <w:rFonts w:ascii="Times New Roman" w:hAnsi="Times New Roman"/>
          <w:b/>
          <w:i w:val="0"/>
          <w:color w:val="0F172A"/>
          <w:sz w:val="22"/>
        </w:rPr>
        <w:t>Very High Risk</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Machine Learning Classifier Evaluation</w:t>
      </w:r>
      <w:r>
        <w:rPr>
          <w:rFonts w:ascii="Times New Roman" w:hAnsi="Times New Roman"/>
          <w:b w:val="0"/>
          <w:i w:val="0"/>
          <w:color w:val="0F172A"/>
          <w:sz w:val="22"/>
        </w:rPr>
        <w:t>:</w:t>
      </w:r>
    </w:p>
    <w:p>
      <w:pPr>
        <w:pStyle w:val="ListBullet"/>
        <w:spacing w:line="300" w:lineRule="auto" w:before="40" w:after="40"/>
        <w:ind w:left="576"/>
        <w:jc w:val="left"/>
      </w:pPr>
      <w:r>
        <w:rPr>
          <w:rFonts w:ascii="Times New Roman" w:hAnsi="Times New Roman"/>
          <w:b w:val="0"/>
          <w:i w:val="0"/>
          <w:color w:val="0F172A"/>
          <w:sz w:val="22"/>
        </w:rPr>
        <w:t xml:space="preserve">  Prediction: </w:t>
      </w:r>
      <w:r>
        <w:rPr>
          <w:rFonts w:ascii="Times New Roman" w:hAnsi="Times New Roman"/>
          <w:b/>
          <w:i w:val="0"/>
          <w:color w:val="0F172A"/>
          <w:sz w:val="22"/>
        </w:rPr>
        <w:t>CKD Detected</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Inference Confidence: </w:t>
      </w:r>
      <w:r>
        <w:rPr>
          <w:rFonts w:ascii="Times New Roman" w:hAnsi="Times New Roman"/>
          <w:b/>
          <w:i w:val="0"/>
          <w:color w:val="0F172A"/>
          <w:sz w:val="22"/>
        </w:rPr>
        <w:t>100.0%</w:t>
      </w:r>
      <w:r>
        <w:rPr>
          <w:rFonts w:ascii="Times New Roman" w:hAnsi="Times New Roman"/>
          <w:b w:val="0"/>
          <w:i w:val="0"/>
          <w:color w:val="0F172A"/>
          <w:sz w:val="22"/>
        </w:rPr>
      </w:r>
    </w:p>
    <w:p>
      <w:pPr>
        <w:pStyle w:val="ListBullet"/>
        <w:spacing w:line="300" w:lineRule="auto" w:before="40" w:after="40"/>
        <w:ind w:left="576"/>
        <w:jc w:val="left"/>
      </w:pPr>
      <w:r>
        <w:rPr>
          <w:rFonts w:ascii="Times New Roman" w:hAnsi="Times New Roman"/>
          <w:b w:val="0"/>
          <w:i w:val="0"/>
          <w:color w:val="0F172A"/>
          <w:sz w:val="22"/>
        </w:rPr>
        <w:t xml:space="preserve">  </w:t>
      </w:r>
      <w:r>
        <w:rPr>
          <w:rFonts w:ascii="Times New Roman" w:hAnsi="Times New Roman"/>
          <w:b/>
          <w:i w:val="0"/>
          <w:color w:val="0F172A"/>
          <w:sz w:val="22"/>
        </w:rPr>
        <w:t>AI Advisory Output</w:t>
      </w:r>
      <w:r>
        <w:rPr>
          <w:rFonts w:ascii="Times New Roman" w:hAnsi="Times New Roman"/>
          <w:b w:val="0"/>
          <w:i w:val="0"/>
          <w:color w:val="0F172A"/>
          <w:sz w:val="22"/>
        </w:rPr>
        <w:t>: The system issued an urgent alert highlighting advanced kidney failure (Stage G5) combined with severe anemia (Hemoglobin 8.4 g/dL), which is a common systemic complication of chronic kidney disease. The clinical assistant recommended an immediate referral to nephrology, preparing a vascular access plan for hemodialysis, and evaluating the patient for erythropoietin-stimulating agents (ESAs) to treat renal anemia.</w:t>
      </w:r>
    </w:p>
    <w:p>
      <w:r>
        <w:br w:type="page"/>
      </w:r>
    </w:p>
    <w:p>
      <w:pPr>
        <w:keepNext/>
        <w:spacing w:line="300" w:lineRule="auto" w:before="280" w:after="120"/>
        <w:jc w:val="left"/>
      </w:pPr>
      <w:r>
        <w:rPr>
          <w:rFonts w:ascii="Montserrat" w:hAnsi="Montserrat"/>
          <w:b/>
          <w:i w:val="0"/>
          <w:color w:val="4F46E5"/>
          <w:sz w:val="24"/>
        </w:rPr>
        <w:t>4.6 Clinical Discussion &amp; Future Outlook</w:t>
      </w:r>
    </w:p>
    <w:p>
      <w:pPr>
        <w:spacing w:line="300" w:lineRule="auto" w:before="0" w:after="160"/>
        <w:jc w:val="both"/>
      </w:pPr>
      <w:r>
        <w:rPr>
          <w:rFonts w:ascii="Times New Roman" w:hAnsi="Times New Roman"/>
          <w:b w:val="0"/>
          <w:i w:val="0"/>
          <w:color w:val="0F172A"/>
          <w:sz w:val="22"/>
        </w:rPr>
        <w:t>The results demonstrate that combining deterministic clinical staging with predictive machine learning provides a highly effective diagnostic screening tool.</w:t>
      </w:r>
    </w:p>
    <w:p>
      <w:pPr>
        <w:spacing w:line="300" w:lineRule="auto" w:before="0" w:after="160"/>
        <w:jc w:val="both"/>
      </w:pPr>
      <w:r>
        <w:rPr>
          <w:rFonts w:ascii="Times New Roman" w:hAnsi="Times New Roman"/>
          <w:b w:val="0"/>
          <w:i w:val="0"/>
          <w:color w:val="0F172A"/>
          <w:sz w:val="22"/>
        </w:rPr>
        <w:t>The high predictive accuracy (97.50% test accuracy) achieved by a simple, interpretable Decision Tree highlights the value of focusing on key clinical biomarkers like Hemoglobin, Specific Gravity, and Albumin. Rather than using overly complex "black-box" models, this approach delivers a clear, rule-based clinical pipeline that can be easily explained and verified by healthcare professionals.</w:t>
      </w:r>
    </w:p>
    <w:p>
      <w:pPr>
        <w:keepNext/>
        <w:spacing w:line="300" w:lineRule="auto" w:before="200" w:after="80"/>
        <w:jc w:val="left"/>
      </w:pPr>
      <w:r>
        <w:rPr>
          <w:rFonts w:ascii="Times New Roman" w:hAnsi="Times New Roman"/>
          <w:b/>
          <w:i/>
          <w:color w:val="0F172A"/>
          <w:sz w:val="22"/>
        </w:rPr>
        <w:t>4.6.1 System Limitations</w:t>
      </w:r>
    </w:p>
    <w:p>
      <w:pPr>
        <w:pStyle w:val="ListBullet"/>
        <w:spacing w:line="300" w:lineRule="auto" w:before="40" w:after="40"/>
        <w:ind w:left="576"/>
        <w:jc w:val="left"/>
      </w:pPr>
      <w:r>
        <w:rPr>
          <w:rFonts w:ascii="Times New Roman" w:hAnsi="Times New Roman"/>
          <w:b w:val="0"/>
          <w:i w:val="0"/>
          <w:color w:val="0F172A"/>
          <w:sz w:val="22"/>
        </w:rPr>
        <w:t xml:space="preserve">1.  </w:t>
      </w:r>
      <w:r>
        <w:rPr>
          <w:rFonts w:ascii="Times New Roman" w:hAnsi="Times New Roman"/>
          <w:b/>
          <w:i w:val="0"/>
          <w:color w:val="0F172A"/>
          <w:sz w:val="22"/>
        </w:rPr>
        <w:t>Imputation Assumptions</w:t>
      </w:r>
      <w:r>
        <w:rPr>
          <w:rFonts w:ascii="Times New Roman" w:hAnsi="Times New Roman"/>
          <w:b w:val="0"/>
          <w:i w:val="0"/>
          <w:color w:val="0F172A"/>
          <w:sz w:val="22"/>
        </w:rPr>
        <w:t>: While median and mode imputation are effective for general population screening, they can occasionally mask unique physiological variations in highly atypical patients.</w:t>
      </w:r>
    </w:p>
    <w:p>
      <w:pPr>
        <w:pStyle w:val="ListBullet"/>
        <w:spacing w:line="300" w:lineRule="auto" w:before="40" w:after="40"/>
        <w:ind w:left="576"/>
        <w:jc w:val="left"/>
      </w:pPr>
      <w:r>
        <w:rPr>
          <w:rFonts w:ascii="Times New Roman" w:hAnsi="Times New Roman"/>
          <w:b w:val="0"/>
          <w:i w:val="0"/>
          <w:color w:val="0F172A"/>
          <w:sz w:val="22"/>
        </w:rPr>
        <w:t xml:space="preserve">2.  </w:t>
      </w:r>
      <w:r>
        <w:rPr>
          <w:rFonts w:ascii="Times New Roman" w:hAnsi="Times New Roman"/>
          <w:b/>
          <w:i w:val="0"/>
          <w:color w:val="0F172A"/>
          <w:sz w:val="22"/>
        </w:rPr>
        <w:t>eGFR Formula Constraints</w:t>
      </w:r>
      <w:r>
        <w:rPr>
          <w:rFonts w:ascii="Times New Roman" w:hAnsi="Times New Roman"/>
          <w:b w:val="0"/>
          <w:i w:val="0"/>
          <w:color w:val="0F172A"/>
          <w:sz w:val="22"/>
        </w:rPr>
        <w:t>: The 2021 CKD-EPI equation is highly optimized for steady-state chronic conditions but is less reliable in acute clinical settings (such as acute kidney injury, AKI) where creatinine levels fluctuate rapidly.</w:t>
      </w:r>
    </w:p>
    <w:p>
      <w:pPr>
        <w:keepNext/>
        <w:spacing w:line="300" w:lineRule="auto" w:before="200" w:after="80"/>
        <w:jc w:val="left"/>
      </w:pPr>
      <w:r>
        <w:rPr>
          <w:rFonts w:ascii="Times New Roman" w:hAnsi="Times New Roman"/>
          <w:b/>
          <w:i/>
          <w:color w:val="0F172A"/>
          <w:sz w:val="22"/>
        </w:rPr>
        <w:t>4.6.2 Future Outlook</w:t>
      </w:r>
    </w:p>
    <w:p>
      <w:pPr>
        <w:spacing w:line="300" w:lineRule="auto" w:before="0" w:after="160"/>
        <w:jc w:val="both"/>
      </w:pPr>
      <w:r>
        <w:rPr>
          <w:rFonts w:ascii="Times New Roman" w:hAnsi="Times New Roman"/>
          <w:b w:val="0"/>
          <w:i w:val="0"/>
          <w:color w:val="0F172A"/>
          <w:sz w:val="22"/>
        </w:rPr>
        <w:t xml:space="preserve">Future iterations of this platform will focus on integrating longitudinal patient data to model the </w:t>
      </w:r>
      <w:r>
        <w:rPr>
          <w:rFonts w:ascii="Times New Roman" w:hAnsi="Times New Roman"/>
          <w:b/>
          <w:i w:val="0"/>
          <w:color w:val="0F172A"/>
          <w:sz w:val="22"/>
        </w:rPr>
        <w:t>rate of eGFR decline</w:t>
      </w:r>
      <w:r>
        <w:rPr>
          <w:rFonts w:ascii="Times New Roman" w:hAnsi="Times New Roman"/>
          <w:b w:val="0"/>
          <w:i w:val="0"/>
          <w:color w:val="0F172A"/>
          <w:sz w:val="22"/>
        </w:rPr>
        <w:t xml:space="preserve"> over time. This will allow the system to predict the trajectory of kidney disease progression, giving clinicians the insights needed to implement preventative therapies even earlier.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