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4.0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1502"/>
        <w:gridCol w:w="1691"/>
        <w:gridCol w:w="1568"/>
        <w:gridCol w:w="1737"/>
        <w:gridCol w:w="945"/>
        <w:gridCol w:w="105"/>
        <w:gridCol w:w="1756"/>
        <w:tblGridChange w:id="0">
          <w:tblGrid>
            <w:gridCol w:w="1502"/>
            <w:gridCol w:w="1691"/>
            <w:gridCol w:w="1568"/>
            <w:gridCol w:w="1737"/>
            <w:gridCol w:w="945"/>
            <w:gridCol w:w="105"/>
            <w:gridCol w:w="1756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>
            <w:pPr>
              <w:ind w:firstLine="12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Software Engineering Design Term Project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2017/09/25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19:00~21:00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德田440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Recorded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Choose Open Source to review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Presence or not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王瀚磊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u10116032@gmail.com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Student(Advisor)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yhchang@eda.ee.ntu.edu.tw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蔡佳昱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Lisyaoran51@hotmail.com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林凡煒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kartd0094775@gmail.com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11"/>
              </w:tabs>
              <w:contextualSpacing w:val="0"/>
              <w:jc w:val="both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王本奕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s89162504@gmail.com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張嘉豪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liebe821227@gmail.com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方珮雯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judyazby520@gmail.com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Meeting Agendas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/>
              <w:contextualSpacing w:val="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自我介紹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/>
              <w:contextualSpacing w:val="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介紹各自找到的 Open Source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/>
              <w:contextualSpacing w:val="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選擇 Open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80" w:hanging="480"/>
              <w:contextualSpacing w:val="0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color w:val="000000"/>
                <w:rtl w:val="0"/>
              </w:rPr>
              <w:t xml:space="preserve">介紹各自找到的 Open Source Project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Stepmania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contextualSpacing w:val="1"/>
              <w:jc w:val="left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OpenStack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contextualSpacing w:val="1"/>
              <w:jc w:val="left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Telegram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contextualSpacing w:val="1"/>
              <w:jc w:val="left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OpenCV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contextualSpacing w:val="1"/>
              <w:jc w:val="left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Boost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Atom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VS code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Notepad++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ricohchat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選擇 Term project 要追蹤的 Open Source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VS code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Boost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960" w:hanging="480"/>
              <w:contextualSpacing w:val="1"/>
              <w:rPr>
                <w:b w:val="0"/>
                <w:color w:val="00000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Telegram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Stepmania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OpenStack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Telegram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OpenCV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Boost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 code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Notepad++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ricohchat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64" w:hanging="480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"/>
      <w:lvlJc w:val="center"/>
      <w:pPr>
        <w:ind w:left="764" w:hanging="478.99999999999994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