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4.0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1502"/>
        <w:gridCol w:w="1691"/>
        <w:gridCol w:w="1568"/>
        <w:gridCol w:w="1737"/>
        <w:gridCol w:w="945"/>
        <w:gridCol w:w="105"/>
        <w:gridCol w:w="1756"/>
        <w:tblGridChange w:id="0">
          <w:tblGrid>
            <w:gridCol w:w="1502"/>
            <w:gridCol w:w="1691"/>
            <w:gridCol w:w="1568"/>
            <w:gridCol w:w="1737"/>
            <w:gridCol w:w="945"/>
            <w:gridCol w:w="105"/>
            <w:gridCol w:w="1756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120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Engineering Design Term Project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2017/10/02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19:00~21:00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德田440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Recorded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方珮雯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Modify Open Source to review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Presence or not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王瀚磊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u10116032@gmail.com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張育瑄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yhchang@eda.ee.ntu.edu.tw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Lisyaoran51@hotmail.com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kartd0094775@gmail.com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711"/>
              </w:tabs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s89162504@gmail.com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liebe821227@gmail.com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judyazby520@gmail.com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Meeting Agendas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介紹各自找到的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Open Source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討論功能、調查程式碼行數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選擇 Open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介紹各自找到的 Open Source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spring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teammates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apache roller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guava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hadoop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jarbref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ExoPlayer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jdownloader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error-prone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篩選Team project 要追蹤的 Open Source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guava: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1440" w:hanging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有完整的framework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1440" w:hanging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程式碼行數較多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1440" w:hanging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需要的背景知識較多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teammates: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1440" w:hanging="480"/>
              <w:contextualSpacing w:val="1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需求明確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1440" w:hanging="48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GPL-2.0 license 並不理想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80"/>
              <w:contextualSpacing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結論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guava、teammates都研究一下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960" w:hanging="480"/>
              <w:contextualSpacing w:val="1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0000"/>
                <w:sz w:val="24"/>
                <w:szCs w:val="24"/>
                <w:rtl w:val="0"/>
              </w:rPr>
              <w:t xml:space="preserve">guava 投影片以 official documents 劃分區塊分工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Stepmania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OpenStack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Telegram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OpenCV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Boost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Atom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VS code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Notepad++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ricohchat ppt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9/27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9/27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  <w:br w:type="textWrapping"/>
              <w:t xml:space="preserve">- Graphs</w:t>
              <w:br w:type="textWrapping"/>
              <w:t xml:space="preserve">- math</w:t>
              <w:br w:type="textWrapping"/>
              <w:t xml:space="preserve">- range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蔡佳昱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Cache</w:t>
              <w:br w:type="textWrapping"/>
              <w:t xml:space="preserve">- Event bus</w:t>
              <w:br w:type="textWrapping"/>
              <w:t xml:space="preserve">- primitive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林凡煒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Util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concurrency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hashing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張嘉豪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collections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張育瑄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Teammates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王本奕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79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license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Reflection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networking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18:00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guava: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簡介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整合投影片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方珮雯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10/4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Closed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10/4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8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