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肝癌用藥存活分析統計報告</w:t>
        <w:br/>
        <w:t>(Kaplan-Meier Survival Analysis Report)</w:t>
      </w:r>
    </w:p>
    <w:p>
      <w:pPr>
        <w:jc w:val="center"/>
      </w:pPr>
      <w:r>
        <w:rPr>
          <w:i/>
          <w:color w:val="787878"/>
          <w:sz w:val="20"/>
        </w:rPr>
        <w:t>課程：生物統計學實習  |  分析模型：Kaplan-Meier 乘積極限法 &amp; Log-Rank 檢定</w:t>
      </w:r>
    </w:p>
    <w:p/>
    <w:p>
      <w:pPr>
        <w:pStyle w:val="Heading1"/>
      </w:pPr>
      <w:r>
        <w:t>一、 研究背景與資料概況 (Study Overview)</w:t>
      </w:r>
    </w:p>
    <w:p>
      <w:pPr>
        <w:spacing w:line="288" w:lineRule="auto"/>
      </w:pPr>
      <w:r>
        <w:t>本研究評估肝癌用藥試驗（Survival test example）之病患存活情形，資料共收錄 12 位病患，隨機分配至 Group 1 與 Group 2 兩組（每組各 6 位受試者）。追蹤時間以「月份 (Follow-up Months)」記錄，臨床事件定義為死亡（Status: 1=死亡事件, 0=設限 Censored）。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456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分析指標 (Metric)</w:t>
            </w:r>
          </w:p>
        </w:tc>
        <w:tc>
          <w:tcPr>
            <w:tcW w:type="dxa" w:w="2016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Group 1</w:t>
            </w:r>
          </w:p>
        </w:tc>
        <w:tc>
          <w:tcPr>
            <w:tcW w:type="dxa" w:w="2304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Group 2</w:t>
            </w:r>
          </w:p>
        </w:tc>
        <w:tc>
          <w:tcPr>
            <w:tcW w:type="dxa" w:w="288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全體受試者 (Overall)</w:t>
            </w:r>
          </w:p>
        </w:tc>
      </w:tr>
      <w:tr>
        <w:tc>
          <w:tcPr>
            <w:tcW w:type="dxa" w:w="345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受試者人數 (Total N)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6 人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6 人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12 人</w:t>
            </w:r>
          </w:p>
        </w:tc>
      </w:tr>
      <w:tr>
        <w:tc>
          <w:tcPr>
            <w:tcW w:type="dxa" w:w="345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死亡事件人數 (Events, d)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3 人 (50.0%)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6 人 (100.0%)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9 人 (75.0%)</w:t>
            </w:r>
          </w:p>
        </w:tc>
      </w:tr>
      <w:tr>
        <w:tc>
          <w:tcPr>
            <w:tcW w:type="dxa" w:w="345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設限人數 (Censored, c)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3 人 (50.0%)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 人 (0.0%)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3 人 (25.0%)</w:t>
            </w:r>
          </w:p>
        </w:tc>
      </w:tr>
      <w:tr>
        <w:tc>
          <w:tcPr>
            <w:tcW w:type="dxa" w:w="345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平均追蹤時間 (Mean ± SD)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6.03 ± 1.13 個月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5.53 ± 0.99 個月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5.78 ± 1.05 個月</w:t>
            </w:r>
          </w:p>
        </w:tc>
      </w:tr>
      <w:tr>
        <w:tc>
          <w:tcPr>
            <w:tcW w:type="dxa" w:w="345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追蹤月份範圍 (Min ~ Max)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4.5 ~ 7.2 個月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4.3 ~ 7.0 個月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4.3 ~ 7.2 個月</w:t>
            </w:r>
          </w:p>
        </w:tc>
      </w:tr>
      <w:tr>
        <w:tc>
          <w:tcPr>
            <w:tcW w:type="dxa" w:w="345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中位存活時間 (Median Survival)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6.5 個月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5.5 個月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5.5 個月</w:t>
            </w:r>
          </w:p>
        </w:tc>
      </w:tr>
      <w:tr>
        <w:tc>
          <w:tcPr>
            <w:tcW w:type="dxa" w:w="345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Log-Rank 檢定 (Mantel-Cox)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—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—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Chi-sq = 2.304, df = 1, p = 0.129</w:t>
            </w:r>
          </w:p>
        </w:tc>
      </w:tr>
      <w:tr>
        <w:tc>
          <w:tcPr>
            <w:tcW w:type="dxa" w:w="345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Cox 風險比 HR (Group 2 vs 1)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1.00 (基準對照)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2.81 (95% CI: 0.69 ~ 11.46)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Cox p = 0.150</w:t>
            </w:r>
          </w:p>
        </w:tc>
      </w:tr>
    </w:tbl>
    <w:p/>
    <w:p>
      <w:pPr>
        <w:pStyle w:val="Heading1"/>
      </w:pPr>
      <w:r>
        <w:t>二、 Kaplan-Meier 存活率估計表 (Life Tables)</w:t>
      </w:r>
    </w:p>
    <w:p>
      <w:pPr>
        <w:spacing w:line="288" w:lineRule="auto"/>
      </w:pPr>
      <w:r>
        <w:t>Kaplan-Meier (KM) 乘積極限法透過條件存活機率之連乘計算累積存活率 S(t)。各時間點之標準誤 (SE) 採用 Greenwood 公式估算，並提供 95% 信賴區間：</w:t>
      </w:r>
    </w:p>
    <w:p>
      <w:pPr>
        <w:pStyle w:val="Heading2"/>
      </w:pPr>
      <w:r>
        <w:t>1. Group 1 壽命表 (Group 1 Life Table)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15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時間 t (月)</w:t>
            </w:r>
          </w:p>
        </w:tc>
        <w:tc>
          <w:tcPr>
            <w:tcW w:type="dxa" w:w="144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期初在險數 (n)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事件數 (d)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設限數 (c)</w:t>
            </w:r>
          </w:p>
        </w:tc>
        <w:tc>
          <w:tcPr>
            <w:tcW w:type="dxa" w:w="1584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區間存活率 (1-d/n)</w:t>
            </w:r>
          </w:p>
        </w:tc>
        <w:tc>
          <w:tcPr>
            <w:tcW w:type="dxa" w:w="172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累積存活率 S(t)</w:t>
            </w:r>
          </w:p>
        </w:tc>
        <w:tc>
          <w:tcPr>
            <w:tcW w:type="dxa" w:w="144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Greenwood SE</w:t>
            </w:r>
          </w:p>
        </w:tc>
        <w:tc>
          <w:tcPr>
            <w:tcW w:type="dxa" w:w="187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95% 信賴區間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0.0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6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1.0000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1.0000 (100%)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0.0000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1.0000 ~ 1.0000</w:t>
            </w:r>
          </w:p>
        </w:tc>
      </w:tr>
      <w:tr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4.5</w:t>
            </w:r>
          </w:p>
        </w:tc>
        <w:tc>
          <w:tcPr>
            <w:tcW w:type="dxa" w:w="144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6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58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0.8333</w:t>
            </w:r>
          </w:p>
        </w:tc>
        <w:tc>
          <w:tcPr>
            <w:tcW w:type="dxa" w:w="172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0.8333 (83.3%)</w:t>
            </w:r>
          </w:p>
        </w:tc>
        <w:tc>
          <w:tcPr>
            <w:tcW w:type="dxa" w:w="144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0.1521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0.2731 ~ 0.9747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5.0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5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0.8000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0.6667 (66.7%)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0.1925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0.1946 ~ 0.9044</w:t>
            </w:r>
          </w:p>
        </w:tc>
      </w:tr>
      <w:tr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6.0</w:t>
            </w:r>
          </w:p>
        </w:tc>
        <w:tc>
          <w:tcPr>
            <w:tcW w:type="dxa" w:w="144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4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58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1.0000</w:t>
            </w:r>
          </w:p>
        </w:tc>
        <w:tc>
          <w:tcPr>
            <w:tcW w:type="dxa" w:w="172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0.6667 (66.7%)</w:t>
            </w:r>
          </w:p>
        </w:tc>
        <w:tc>
          <w:tcPr>
            <w:tcW w:type="dxa" w:w="144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0.1925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0.1946 ~ 0.9044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6.5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3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0.6667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0.4444 (44.4%)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0.2222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0.0662 ~ 0.7849</w:t>
            </w:r>
          </w:p>
        </w:tc>
      </w:tr>
      <w:tr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7.0</w:t>
            </w:r>
          </w:p>
        </w:tc>
        <w:tc>
          <w:tcPr>
            <w:tcW w:type="dxa" w:w="144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2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58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1.0000</w:t>
            </w:r>
          </w:p>
        </w:tc>
        <w:tc>
          <w:tcPr>
            <w:tcW w:type="dxa" w:w="172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0.4444 (44.4%)</w:t>
            </w:r>
          </w:p>
        </w:tc>
        <w:tc>
          <w:tcPr>
            <w:tcW w:type="dxa" w:w="144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0.2222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0.0662 ~ 0.7849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7.2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1.0000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0.4444 (44.4%)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0.2222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0.0662 ~ 0.7849</w:t>
            </w:r>
          </w:p>
        </w:tc>
      </w:tr>
    </w:tbl>
    <w:p/>
    <w:p>
      <w:r>
        <w:rPr>
          <w:b/>
          <w:color w:val="1F497D"/>
        </w:rPr>
        <w:t>★ Group 1 中位存活時間 (Median Survival Time) 為 6.5 個月（於 6.5 個月時累積存活率首度降至 50% 以下）。</w:t>
      </w:r>
    </w:p>
    <w:p>
      <w:pPr>
        <w:pStyle w:val="Heading2"/>
      </w:pPr>
      <w:r>
        <w:t>2. Group 2 壽命表 (Group 2 Life Table)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15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時間 t (月)</w:t>
            </w:r>
          </w:p>
        </w:tc>
        <w:tc>
          <w:tcPr>
            <w:tcW w:type="dxa" w:w="144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期初在險數 (n)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事件數 (d)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設限數 (c)</w:t>
            </w:r>
          </w:p>
        </w:tc>
        <w:tc>
          <w:tcPr>
            <w:tcW w:type="dxa" w:w="1584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區間存活率 (1-d/n)</w:t>
            </w:r>
          </w:p>
        </w:tc>
        <w:tc>
          <w:tcPr>
            <w:tcW w:type="dxa" w:w="172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累積存活率 S(t)</w:t>
            </w:r>
          </w:p>
        </w:tc>
        <w:tc>
          <w:tcPr>
            <w:tcW w:type="dxa" w:w="144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Greenwood SE</w:t>
            </w:r>
          </w:p>
        </w:tc>
        <w:tc>
          <w:tcPr>
            <w:tcW w:type="dxa" w:w="187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95% 信賴區間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0.0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6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1.0000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1.0000 (100%)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0.0000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1.0000 ~ 1.0000</w:t>
            </w:r>
          </w:p>
        </w:tc>
      </w:tr>
      <w:tr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4.3</w:t>
            </w:r>
          </w:p>
        </w:tc>
        <w:tc>
          <w:tcPr>
            <w:tcW w:type="dxa" w:w="144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6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58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0.8333</w:t>
            </w:r>
          </w:p>
        </w:tc>
        <w:tc>
          <w:tcPr>
            <w:tcW w:type="dxa" w:w="172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0.8333 (83.3%)</w:t>
            </w:r>
          </w:p>
        </w:tc>
        <w:tc>
          <w:tcPr>
            <w:tcW w:type="dxa" w:w="144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0.1521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0.2731 ~ 0.9747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5.0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5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2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0.6000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0.5000 (50.0%)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0.2041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0.1109 ~ 0.8037</w:t>
            </w:r>
          </w:p>
        </w:tc>
      </w:tr>
      <w:tr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5.5</w:t>
            </w:r>
          </w:p>
        </w:tc>
        <w:tc>
          <w:tcPr>
            <w:tcW w:type="dxa" w:w="144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3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58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0.6667</w:t>
            </w:r>
          </w:p>
        </w:tc>
        <w:tc>
          <w:tcPr>
            <w:tcW w:type="dxa" w:w="172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0.3333 (33.3%)</w:t>
            </w:r>
          </w:p>
        </w:tc>
        <w:tc>
          <w:tcPr>
            <w:tcW w:type="dxa" w:w="144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0.1925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0.0461 ~ 0.6756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6.4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2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0.5000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0.1667 (16.7%)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0.1521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0.0077 ~ 0.5168</w:t>
            </w:r>
          </w:p>
        </w:tc>
      </w:tr>
      <w:tr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7.0</w:t>
            </w:r>
          </w:p>
        </w:tc>
        <w:tc>
          <w:tcPr>
            <w:tcW w:type="dxa" w:w="144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58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0.0000</w:t>
            </w:r>
          </w:p>
        </w:tc>
        <w:tc>
          <w:tcPr>
            <w:tcW w:type="dxa" w:w="172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0.0000 (0.0%)</w:t>
            </w:r>
          </w:p>
        </w:tc>
        <w:tc>
          <w:tcPr>
            <w:tcW w:type="dxa" w:w="144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0.0000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0.0000 ~ 0.0000</w:t>
            </w:r>
          </w:p>
        </w:tc>
      </w:tr>
    </w:tbl>
    <w:p/>
    <w:p>
      <w:r>
        <w:rPr>
          <w:b/>
          <w:color w:val="C00000"/>
        </w:rPr>
        <w:t>★ Group 2 中位存活時間 (Median Survival Time) 為 5.5 個月（於 5.0 個月時剛好為 50%，5.5 個月時降至 33.33%）。</w:t>
      </w:r>
    </w:p>
    <w:p>
      <w:pPr>
        <w:pStyle w:val="Heading1"/>
      </w:pPr>
      <w:r>
        <w:t>三、 Kaplan-Meier 存活曲線圖 (Survival Curves)</w:t>
      </w:r>
    </w:p>
    <w:p>
      <w:pPr>
        <w:spacing w:line="288" w:lineRule="auto"/>
      </w:pPr>
      <w:r>
        <w:t>下圖呈現兩組之存活階梯曲線。藍線代表 Group 1，紅線代表 Group 2。曲線附帶 95% 信賴區間帶、設限符號（+ 標記於 6.0、7.0、7.2 個月），圖表下方附有受試在險人數表（Number at Risk Table），符合臨床醫學期刊發布規範：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4630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_survival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63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05050"/>
          <w:sz w:val="19"/>
        </w:rPr>
        <w:t>圖 1：肝癌用藥存活率曲線圖（附 95% 信賴區間與在險人數表）</w:t>
      </w:r>
    </w:p>
    <w:p/>
    <w:p>
      <w:pPr>
        <w:pStyle w:val="Heading1"/>
      </w:pPr>
      <w:r>
        <w:t>四、 假設檢定：Log-Rank 檢定 (Mantel-Cox Test)</w:t>
      </w:r>
    </w:p>
    <w:p>
      <w:pPr>
        <w:spacing w:line="288" w:lineRule="auto"/>
      </w:pPr>
      <w:r>
        <w:t>Log-Rank 檢定用於檢定兩組母體存活曲線是否相同。</w:t>
        <w:br/>
        <w:t>• 虛無假設 (H0)：兩組之母體存活曲線相同，即 S1(t) = S2(t)。</w:t>
        <w:br/>
        <w:t>• 對立假設 (H1)：兩組之母體存活曲線不相同，即 S1(t) ≠ S2(t)。</w:t>
        <w:br/>
        <w:br/>
        <w:t>在每個死亡事件發生時間點 t，依據超幾何分佈計算期望事件數 E1i 與變異數 Vari：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100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事件月份 t</w:t>
            </w:r>
          </w:p>
        </w:tc>
        <w:tc>
          <w:tcPr>
            <w:tcW w:type="dxa" w:w="100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Group 1 在險 (n1)</w:t>
            </w:r>
          </w:p>
        </w:tc>
        <w:tc>
          <w:tcPr>
            <w:tcW w:type="dxa" w:w="100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Group 1 觀察 (O1)</w:t>
            </w:r>
          </w:p>
        </w:tc>
        <w:tc>
          <w:tcPr>
            <w:tcW w:type="dxa" w:w="100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Group 1 期望 (E1)</w:t>
            </w:r>
          </w:p>
        </w:tc>
        <w:tc>
          <w:tcPr>
            <w:tcW w:type="dxa" w:w="100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Group 2 在險 (n2)</w:t>
            </w:r>
          </w:p>
        </w:tc>
        <w:tc>
          <w:tcPr>
            <w:tcW w:type="dxa" w:w="100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Group 2 觀察 (O2)</w:t>
            </w:r>
          </w:p>
        </w:tc>
        <w:tc>
          <w:tcPr>
            <w:tcW w:type="dxa" w:w="100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Group 2 期望 (E2)</w:t>
            </w:r>
          </w:p>
        </w:tc>
        <w:tc>
          <w:tcPr>
            <w:tcW w:type="dxa" w:w="100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合計在險 (N)</w:t>
            </w:r>
          </w:p>
        </w:tc>
        <w:tc>
          <w:tcPr>
            <w:tcW w:type="dxa" w:w="100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合計事件 (D)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超幾何變異數 (Var)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4.3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6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0.5000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6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0.5000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12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0.2500</w:t>
            </w:r>
          </w:p>
        </w:tc>
      </w:tr>
      <w:tr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4.5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6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0.5455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5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0.4545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11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0.2479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5.0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5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1.5000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5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2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1.5000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10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3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0.5833</w:t>
            </w:r>
          </w:p>
        </w:tc>
      </w:tr>
      <w:tr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5.5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4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0.5714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3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0.4286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7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0.2449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6.4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3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0.6000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2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0.4000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5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0.2400</w:t>
            </w:r>
          </w:p>
        </w:tc>
      </w:tr>
      <w:tr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6.5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3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0.7500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0.2500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4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0.1875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7.0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2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0.6667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0.3333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3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1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0.2222</w:t>
            </w:r>
          </w:p>
        </w:tc>
      </w:tr>
      <w:tr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總計 (Sum)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—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O1 = 3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E1 = 5.1336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—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O2 = 6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E2 = 3.8664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—</w:t>
            </w:r>
          </w:p>
        </w:tc>
        <w:tc>
          <w:tcPr>
            <w:tcW w:type="dxa" w:w="100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9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323232"/>
                <w:sz w:val="18"/>
              </w:rPr>
              <w:t>Var = 1.9758</w:t>
            </w:r>
          </w:p>
        </w:tc>
      </w:tr>
    </w:tbl>
    <w:p/>
    <w:p>
      <w:pPr>
        <w:spacing w:line="312" w:lineRule="auto"/>
      </w:pPr>
      <w:r>
        <w:rPr>
          <w:rFonts w:ascii="Consolas" w:hAnsi="Consolas"/>
          <w:color w:val="141414"/>
          <w:sz w:val="20"/>
        </w:rPr>
        <w:t>【卡方統計量計算式】</w:t>
        <w:br/>
        <w:t>Chi-square (χ²) = (O1 - E1)² / Var</w:t>
        <w:br/>
        <w:t xml:space="preserve">               = (3 - 5.1336)² / 1.9758</w:t>
        <w:br/>
        <w:t xml:space="preserve">               = (-2.1336)² / 1.9758</w:t>
        <w:br/>
        <w:t xml:space="preserve">               = 4.5520 / 1.9758 = 2.3040</w:t>
        <w:br/>
        <w:br/>
        <w:t>• 自由度 (df) = 1</w:t>
        <w:br/>
        <w:t>• 檢定 p 值 (p-value) = 0.1291</w:t>
      </w:r>
    </w:p>
    <w:p>
      <w:r>
        <w:rPr>
          <w:b/>
        </w:rPr>
        <w:t>統計結論：在顯著水準 α = 0.05 下，Log-Rank 檢定統計量 χ² = 2.304，p = 0.1291 &gt; 0.05，未達到統計上之顯著水準，因此「不拒絕虛無假設 (Fail to reject H0)」。現有樣本證據尚不足以斷定兩組之存活率存在顯著差異。</w:t>
      </w:r>
    </w:p>
    <w:p>
      <w:pPr>
        <w:pStyle w:val="Heading1"/>
      </w:pPr>
      <w:r>
        <w:t>五、 Cox 比例風險模型與生物統計學結論</w:t>
      </w:r>
    </w:p>
    <w:p>
      <w:pPr>
        <w:spacing w:line="312" w:lineRule="auto"/>
      </w:pPr>
      <w:r>
        <w:t>進一步建立單變量 Cox 比例風險迴歸模型（Cox Proportional Hazards Model），以 Group 1 為對照基準：</w:t>
        <w:br/>
        <w:t>• 風險比 Hazard Ratio (HR)：2.81</w:t>
        <w:br/>
        <w:t>• 95% 信賴區間 (95% CI)：0.69 ~ 11.46</w:t>
        <w:br/>
        <w:t>• Wald 檢定 p-value：0.1499</w:t>
        <w:br/>
        <w:br/>
        <w:t>【綜合生統分析與實習報告建議】</w:t>
        <w:br/>
        <w:t>1. 臨床趨勢 (Clinical Trend)：Group 1 的中位存活時間為 6.5 個月，且於追蹤截止時仍有 50%（3位）患者存活；相較之下，Group 2 的中位存活時間為 5.5 個月，死亡率達 100%。點估計顯示 Group 2 死亡風險約為 Group 1 的 2.81 倍。</w:t>
        <w:br/>
        <w:t>2. 統計檢定力 (Statistical Power)：雖然臨床曲線上呈現明顯差距，但由於總樣本數僅 12 位（每組 6 位），微小的樣本量導致統計檢定力嚴重不足（易發生第二型錯誤 Type II Error）。</w:t>
        <w:br/>
        <w:t>3. 實務改善建議：建議在後續臨床試驗或報告結論中註明：若欲達到 80% 檢定力（Power = 0.80, α = 0.05），應擴大試驗收案規模以驗證藥物之顯著療效。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