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BB8EE" w14:textId="77777777" w:rsidR="00686765" w:rsidRDefault="00814344">
      <w:pPr>
        <w:spacing w:before="200" w:after="80"/>
        <w:jc w:val="center"/>
        <w:rPr>
          <w:lang w:eastAsia="zh-TW"/>
        </w:rPr>
      </w:pPr>
      <w:r>
        <w:rPr>
          <w:rFonts w:ascii="微軟正黑體" w:eastAsia="微軟正黑體" w:hAnsi="微軟正黑體"/>
          <w:b/>
          <w:color w:val="1F4E79"/>
          <w:sz w:val="44"/>
          <w:lang w:eastAsia="zh-TW"/>
        </w:rPr>
        <w:t>生物統計學實習：非母數統計分析綜合報告</w:t>
      </w:r>
    </w:p>
    <w:p w14:paraId="4B325F72" w14:textId="77777777" w:rsidR="00686765" w:rsidRDefault="00814344">
      <w:pPr>
        <w:spacing w:after="360"/>
        <w:jc w:val="center"/>
      </w:pPr>
      <w:r>
        <w:rPr>
          <w:rFonts w:ascii="微軟正黑體" w:eastAsia="微軟正黑體" w:hAnsi="微軟正黑體"/>
          <w:color w:val="595959"/>
          <w:sz w:val="26"/>
        </w:rPr>
        <w:t>Mann-Whitney U 檢定與 Kruskal-Wallis H 檢定之應用與學術解讀</w:t>
      </w:r>
    </w:p>
    <w:p w14:paraId="66848236" w14:textId="77777777" w:rsidR="00686765" w:rsidRDefault="00814344">
      <w:pPr>
        <w:spacing w:after="400"/>
        <w:jc w:val="right"/>
      </w:pPr>
      <w:r>
        <w:rPr>
          <w:rFonts w:ascii="微軟正黑體" w:eastAsia="微軟正黑體" w:hAnsi="微軟正黑體"/>
          <w:color w:val="787878"/>
          <w:sz w:val="19"/>
        </w:rPr>
        <w:t>分析日期：2026 年 10 月 15 日  |  分析檔案：Mann whitney.xlsx、KW_Blood type.xlsx、KW_Pro_salary.xlsx</w:t>
      </w:r>
    </w:p>
    <w:p w14:paraId="04843DBE" w14:textId="77777777" w:rsidR="00686765" w:rsidRDefault="00814344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1F4E79"/>
          <w:sz w:val="30"/>
          <w:lang w:eastAsia="zh-TW"/>
        </w:rPr>
        <w:t>【執行摘要】三份資料統計分析核心結論一覽表</w:t>
      </w:r>
    </w:p>
    <w:p w14:paraId="6041599E" w14:textId="77777777" w:rsidR="00686765" w:rsidRDefault="00814344">
      <w:pPr>
        <w:spacing w:line="300" w:lineRule="auto"/>
        <w:rPr>
          <w:lang w:eastAsia="zh-TW"/>
        </w:rPr>
      </w:pPr>
      <w:r>
        <w:rPr>
          <w:rFonts w:ascii="微軟正黑體" w:eastAsia="微軟正黑體" w:hAnsi="微軟正黑體"/>
          <w:color w:val="000000"/>
          <w:lang w:eastAsia="zh-TW"/>
        </w:rPr>
        <w:t>本實習分析涵蓋醫學生物標記、生理特徵與運動經濟學三項獨立主題，重點評估非獨立或非常態/小樣本連續變數之組間差異。在進行統計檢定前，均已嚴謹執行 Shapiro-Wilk 常態性檢定與 Levene 變異數同質性檢定，並據此選用最適切之統計檢定法：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9"/>
        <w:gridCol w:w="1265"/>
        <w:gridCol w:w="1397"/>
        <w:gridCol w:w="1452"/>
        <w:gridCol w:w="1490"/>
        <w:gridCol w:w="2093"/>
      </w:tblGrid>
      <w:tr w:rsidR="00686765" w14:paraId="2599AB76" w14:textId="77777777">
        <w:trPr>
          <w:trHeight w:val="360"/>
          <w:tblHeader/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4617FA0F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資料集檔案</w:t>
            </w:r>
          </w:p>
        </w:tc>
        <w:tc>
          <w:tcPr>
            <w:tcW w:w="1584" w:type="dxa"/>
            <w:shd w:val="clear" w:color="auto" w:fill="1F4E79"/>
            <w:vAlign w:val="center"/>
          </w:tcPr>
          <w:p w14:paraId="20E0EE5D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研究主題與應變數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70252240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自變數分組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5B9FE17E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檢定方法</w:t>
            </w:r>
          </w:p>
        </w:tc>
        <w:tc>
          <w:tcPr>
            <w:tcW w:w="1872" w:type="dxa"/>
            <w:shd w:val="clear" w:color="auto" w:fill="1F4E79"/>
            <w:vAlign w:val="center"/>
          </w:tcPr>
          <w:p w14:paraId="1F9A7C83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統計量與 p 值</w:t>
            </w:r>
          </w:p>
        </w:tc>
        <w:tc>
          <w:tcPr>
            <w:tcW w:w="2736" w:type="dxa"/>
            <w:shd w:val="clear" w:color="auto" w:fill="1F4E79"/>
            <w:vAlign w:val="center"/>
          </w:tcPr>
          <w:p w14:paraId="04A769FC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統計與實務結論</w:t>
            </w:r>
          </w:p>
        </w:tc>
      </w:tr>
      <w:tr w:rsidR="00686765" w14:paraId="364CFA0F" w14:textId="77777777">
        <w:trPr>
          <w:trHeight w:val="360"/>
          <w:jc w:val="center"/>
        </w:trPr>
        <w:tc>
          <w:tcPr>
            <w:tcW w:w="1872" w:type="dxa"/>
            <w:shd w:val="clear" w:color="auto" w:fill="F2F4F8"/>
            <w:vAlign w:val="center"/>
          </w:tcPr>
          <w:p w14:paraId="13538937" w14:textId="77777777" w:rsidR="00686765" w:rsidRDefault="00814344">
            <w:r>
              <w:rPr>
                <w:rFonts w:ascii="微軟正黑體" w:eastAsia="微軟正黑體" w:hAnsi="微軟正黑體"/>
                <w:color w:val="333333"/>
                <w:sz w:val="19"/>
              </w:rPr>
              <w:t>Mann whitney.xlsx</w:t>
            </w:r>
          </w:p>
        </w:tc>
        <w:tc>
          <w:tcPr>
            <w:tcW w:w="1584" w:type="dxa"/>
            <w:shd w:val="clear" w:color="auto" w:fill="F2F4F8"/>
            <w:vAlign w:val="center"/>
          </w:tcPr>
          <w:p w14:paraId="06C3B111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腫瘤 HER2 表現量</w:t>
            </w:r>
          </w:p>
        </w:tc>
        <w:tc>
          <w:tcPr>
            <w:tcW w:w="1728" w:type="dxa"/>
            <w:shd w:val="clear" w:color="auto" w:fill="F2F4F8"/>
            <w:vAlign w:val="center"/>
          </w:tcPr>
          <w:p w14:paraId="1C6C817D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乳癌 BC (n=8)</w:t>
            </w:r>
            <w:r>
              <w:rPr>
                <w:rFonts w:ascii="微軟正黑體" w:eastAsia="微軟正黑體" w:hAnsi="微軟正黑體"/>
                <w:color w:val="333333"/>
                <w:sz w:val="19"/>
              </w:rPr>
              <w:br/>
              <w:t>肺腺癌 LUAD (n=9)</w:t>
            </w:r>
          </w:p>
        </w:tc>
        <w:tc>
          <w:tcPr>
            <w:tcW w:w="1728" w:type="dxa"/>
            <w:shd w:val="clear" w:color="auto" w:fill="F2F4F8"/>
            <w:vAlign w:val="center"/>
          </w:tcPr>
          <w:p w14:paraId="09B0679D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Mann-Whitney U 檢定</w:t>
            </w:r>
            <w:r>
              <w:rPr>
                <w:rFonts w:ascii="微軟正黑體" w:eastAsia="微軟正黑體" w:hAnsi="微軟正黑體"/>
                <w:color w:val="333333"/>
                <w:sz w:val="19"/>
              </w:rPr>
              <w:br/>
              <w:t>(雙尾檢定)</w:t>
            </w:r>
          </w:p>
        </w:tc>
        <w:tc>
          <w:tcPr>
            <w:tcW w:w="1872" w:type="dxa"/>
            <w:shd w:val="clear" w:color="auto" w:fill="F2F4F8"/>
            <w:vAlign w:val="center"/>
          </w:tcPr>
          <w:p w14:paraId="4F83A549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U = 1.0 (或 71.0)</w:t>
            </w:r>
            <w:r>
              <w:rPr>
                <w:rFonts w:ascii="微軟正黑體" w:eastAsia="微軟正黑體" w:hAnsi="微軟正黑體"/>
                <w:color w:val="333333"/>
                <w:sz w:val="19"/>
              </w:rPr>
              <w:br/>
              <w:t>p = 0.0009 (***)</w:t>
            </w:r>
            <w:r>
              <w:rPr>
                <w:rFonts w:ascii="微軟正黑體" w:eastAsia="微軟正黑體" w:hAnsi="微軟正黑體"/>
                <w:color w:val="333333"/>
                <w:sz w:val="19"/>
              </w:rPr>
              <w:br/>
              <w:t>Effect r = 0.972</w:t>
            </w:r>
          </w:p>
        </w:tc>
        <w:tc>
          <w:tcPr>
            <w:tcW w:w="2736" w:type="dxa"/>
            <w:shd w:val="clear" w:color="auto" w:fill="F2F4F8"/>
            <w:vAlign w:val="center"/>
          </w:tcPr>
          <w:p w14:paraId="0868C4A7" w14:textId="77777777" w:rsidR="00686765" w:rsidRDefault="00814344">
            <w:pPr>
              <w:jc w:val="center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333333"/>
                <w:sz w:val="19"/>
                <w:lang w:eastAsia="zh-TW"/>
              </w:rPr>
              <w:t>極顯著差異 (p &lt; 0.001)。乳癌患者 HER2 表現量 (中位數 446.5) 極顯著高於肺腺癌 (中位數 118.0)。</w:t>
            </w:r>
          </w:p>
        </w:tc>
      </w:tr>
      <w:tr w:rsidR="00686765" w14:paraId="29F98837" w14:textId="77777777">
        <w:trPr>
          <w:trHeight w:val="360"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4221DE8D" w14:textId="77777777" w:rsidR="00686765" w:rsidRDefault="00814344">
            <w:r>
              <w:rPr>
                <w:rFonts w:ascii="微軟正黑體" w:eastAsia="微軟正黑體" w:hAnsi="微軟正黑體"/>
                <w:color w:val="333333"/>
                <w:sz w:val="19"/>
              </w:rPr>
              <w:t>KW_Blood type.xlsx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28639D8B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成人身高 (cm)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109F9A91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A型 (12), B型 (10),</w:t>
            </w:r>
            <w:r>
              <w:rPr>
                <w:rFonts w:ascii="微軟正黑體" w:eastAsia="微軟正黑體" w:hAnsi="微軟正黑體"/>
                <w:color w:val="333333"/>
                <w:sz w:val="19"/>
              </w:rPr>
              <w:br/>
              <w:t>O型 (9), AB型 (13)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55F96193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Kruskal-Wallis 檢定</w:t>
            </w:r>
            <w:r>
              <w:rPr>
                <w:rFonts w:ascii="微軟正黑體" w:eastAsia="微軟正黑體" w:hAnsi="微軟正黑體"/>
                <w:color w:val="333333"/>
                <w:sz w:val="19"/>
              </w:rPr>
              <w:br/>
              <w:t>(k=4 組獨立樣本)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B212762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H(3) = 1.507</w:t>
            </w:r>
            <w:r>
              <w:rPr>
                <w:rFonts w:ascii="微軟正黑體" w:eastAsia="微軟正黑體" w:hAnsi="微軟正黑體"/>
                <w:color w:val="333333"/>
                <w:sz w:val="19"/>
              </w:rPr>
              <w:br/>
              <w:t>p = 0.681 (ns)</w:t>
            </w:r>
            <w:r>
              <w:rPr>
                <w:rFonts w:ascii="微軟正黑體" w:eastAsia="微軟正黑體" w:hAnsi="微軟正黑體"/>
                <w:color w:val="333333"/>
                <w:sz w:val="19"/>
              </w:rPr>
              <w:br/>
              <w:t>ε² = 0.000</w:t>
            </w:r>
          </w:p>
        </w:tc>
        <w:tc>
          <w:tcPr>
            <w:tcW w:w="2736" w:type="dxa"/>
            <w:shd w:val="clear" w:color="auto" w:fill="FFFFFF"/>
            <w:vAlign w:val="center"/>
          </w:tcPr>
          <w:p w14:paraId="21F0B26B" w14:textId="77777777" w:rsidR="00686765" w:rsidRDefault="00814344">
            <w:pPr>
              <w:jc w:val="center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333333"/>
                <w:sz w:val="19"/>
                <w:lang w:eastAsia="zh-TW"/>
              </w:rPr>
              <w:t>無顯著差異 (p = 0.681 &gt; 0.05)。不同血型族群在身高表現上無統計學差異，血型與身高無關聯。</w:t>
            </w:r>
          </w:p>
        </w:tc>
      </w:tr>
      <w:tr w:rsidR="00686765" w14:paraId="37285AF3" w14:textId="77777777">
        <w:trPr>
          <w:trHeight w:val="360"/>
          <w:jc w:val="center"/>
        </w:trPr>
        <w:tc>
          <w:tcPr>
            <w:tcW w:w="1872" w:type="dxa"/>
            <w:shd w:val="clear" w:color="auto" w:fill="F2F4F8"/>
            <w:vAlign w:val="center"/>
          </w:tcPr>
          <w:p w14:paraId="64EB7B8C" w14:textId="77777777" w:rsidR="00686765" w:rsidRDefault="00814344">
            <w:r>
              <w:rPr>
                <w:rFonts w:ascii="微軟正黑體" w:eastAsia="微軟正黑體" w:hAnsi="微軟正黑體"/>
                <w:color w:val="333333"/>
                <w:sz w:val="19"/>
              </w:rPr>
              <w:t>KW_Pro_salary.xlsx</w:t>
            </w:r>
          </w:p>
        </w:tc>
        <w:tc>
          <w:tcPr>
            <w:tcW w:w="1584" w:type="dxa"/>
            <w:shd w:val="clear" w:color="auto" w:fill="F2F4F8"/>
            <w:vAlign w:val="center"/>
          </w:tcPr>
          <w:p w14:paraId="38EF9455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職業球員年薪</w:t>
            </w:r>
            <w:r>
              <w:rPr>
                <w:rFonts w:ascii="微軟正黑體" w:eastAsia="微軟正黑體" w:hAnsi="微軟正黑體"/>
                <w:color w:val="333333"/>
                <w:sz w:val="19"/>
              </w:rPr>
              <w:br/>
              <w:t>及年齡</w:t>
            </w:r>
          </w:p>
        </w:tc>
        <w:tc>
          <w:tcPr>
            <w:tcW w:w="1728" w:type="dxa"/>
            <w:shd w:val="clear" w:color="auto" w:fill="F2F4F8"/>
            <w:vAlign w:val="center"/>
          </w:tcPr>
          <w:p w14:paraId="5A1A5EFD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NBA (10), MLB (10),</w:t>
            </w:r>
            <w:r>
              <w:rPr>
                <w:rFonts w:ascii="微軟正黑體" w:eastAsia="微軟正黑體" w:hAnsi="微軟正黑體"/>
                <w:color w:val="333333"/>
                <w:sz w:val="19"/>
              </w:rPr>
              <w:br/>
              <w:t>NFL (10), WNBA (10)</w:t>
            </w:r>
          </w:p>
        </w:tc>
        <w:tc>
          <w:tcPr>
            <w:tcW w:w="1728" w:type="dxa"/>
            <w:shd w:val="clear" w:color="auto" w:fill="F2F4F8"/>
            <w:vAlign w:val="center"/>
          </w:tcPr>
          <w:p w14:paraId="40BAEF25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Kruskal-Wallis 檢定</w:t>
            </w:r>
            <w:r>
              <w:rPr>
                <w:rFonts w:ascii="微軟正黑體" w:eastAsia="微軟正黑體" w:hAnsi="微軟正黑體"/>
                <w:color w:val="333333"/>
                <w:sz w:val="19"/>
              </w:rPr>
              <w:br/>
              <w:t>&amp; Dunn 事後多重比較</w:t>
            </w:r>
          </w:p>
        </w:tc>
        <w:tc>
          <w:tcPr>
            <w:tcW w:w="1872" w:type="dxa"/>
            <w:shd w:val="clear" w:color="auto" w:fill="F2F4F8"/>
            <w:vAlign w:val="center"/>
          </w:tcPr>
          <w:p w14:paraId="5E75331C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年薪: H(3) = 27.61, p &lt; 0.001</w:t>
            </w:r>
            <w:r>
              <w:rPr>
                <w:rFonts w:ascii="微軟正黑體" w:eastAsia="微軟正黑體" w:hAnsi="微軟正黑體"/>
                <w:color w:val="333333"/>
                <w:sz w:val="19"/>
              </w:rPr>
              <w:br/>
              <w:t xml:space="preserve">年齡: H(3) = 8.83, p = </w:t>
            </w:r>
            <w:r>
              <w:rPr>
                <w:rFonts w:ascii="微軟正黑體" w:eastAsia="微軟正黑體" w:hAnsi="微軟正黑體"/>
                <w:color w:val="333333"/>
                <w:sz w:val="19"/>
              </w:rPr>
              <w:lastRenderedPageBreak/>
              <w:t>0.032</w:t>
            </w:r>
          </w:p>
        </w:tc>
        <w:tc>
          <w:tcPr>
            <w:tcW w:w="2736" w:type="dxa"/>
            <w:shd w:val="clear" w:color="auto" w:fill="F2F4F8"/>
            <w:vAlign w:val="center"/>
          </w:tcPr>
          <w:p w14:paraId="51369CC0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  <w:lang w:eastAsia="zh-TW"/>
              </w:rPr>
              <w:lastRenderedPageBreak/>
              <w:t>年薪呈極顯著聯盟差異 (p &lt; 0.001)。Dunn 事後檢定證實 WNBA 薪資顯著低於三大男子聯盟 (p &lt; 0.05)。</w:t>
            </w:r>
            <w:r>
              <w:rPr>
                <w:rFonts w:ascii="微軟正黑體" w:eastAsia="微軟正黑體" w:hAnsi="微軟正黑體"/>
                <w:color w:val="333333"/>
                <w:sz w:val="19"/>
              </w:rPr>
              <w:t xml:space="preserve">年齡方面 MLB </w:t>
            </w:r>
            <w:r>
              <w:rPr>
                <w:rFonts w:ascii="微軟正黑體" w:eastAsia="微軟正黑體" w:hAnsi="微軟正黑體"/>
                <w:color w:val="333333"/>
                <w:sz w:val="19"/>
              </w:rPr>
              <w:lastRenderedPageBreak/>
              <w:t>顯著年長於 NFL (p = 0.021)。</w:t>
            </w:r>
          </w:p>
        </w:tc>
      </w:tr>
    </w:tbl>
    <w:p w14:paraId="2235F705" w14:textId="77777777" w:rsidR="00686765" w:rsidRDefault="00686765">
      <w:pPr>
        <w:spacing w:after="280"/>
      </w:pPr>
    </w:p>
    <w:p w14:paraId="0B522D06" w14:textId="77777777" w:rsidR="00686765" w:rsidRDefault="00814344">
      <w:pPr>
        <w:pStyle w:val="1"/>
      </w:pPr>
      <w:r>
        <w:rPr>
          <w:rFonts w:ascii="微軟正黑體" w:eastAsia="微軟正黑體" w:hAnsi="微軟正黑體"/>
          <w:color w:val="1F4E79"/>
          <w:sz w:val="30"/>
        </w:rPr>
        <w:t>第一部分：乳癌 (BC) 與肺腺癌 (LUAD) 患者 HER2 表現量分析</w:t>
      </w:r>
    </w:p>
    <w:p w14:paraId="6A95E71D" w14:textId="77777777" w:rsidR="00686765" w:rsidRDefault="00814344">
      <w:r>
        <w:rPr>
          <w:rFonts w:ascii="微軟正黑體" w:eastAsia="微軟正黑體" w:hAnsi="微軟正黑體"/>
          <w:b/>
          <w:color w:val="333333"/>
          <w:sz w:val="24"/>
        </w:rPr>
        <w:t>1.1 研究背景與資料概況</w:t>
      </w:r>
    </w:p>
    <w:p w14:paraId="13D03C9F" w14:textId="77777777" w:rsidR="00686765" w:rsidRDefault="00814344">
      <w:pPr>
        <w:spacing w:line="300" w:lineRule="auto"/>
      </w:pPr>
      <w:r>
        <w:rPr>
          <w:rFonts w:ascii="微軟正黑體" w:eastAsia="微軟正黑體" w:hAnsi="微軟正黑體"/>
          <w:color w:val="000000"/>
        </w:rPr>
        <w:t>本資料集 (Mann whitney.xlsx) 旨在探討乳癌 (Breast Cancer, BC) 與肺腺癌 (Lung Adenocarcinoma, LUAD) 兩類腫瘤組織中，人類表皮生長因子受體 2 (HER2_level) 表現量是否存在顯著差異。總樣本數 N = 17，包含 BC 組 8 例 (group 1) 與 LUAD 組 9 例 (group 2)。</w:t>
      </w:r>
    </w:p>
    <w:p w14:paraId="36B2679E" w14:textId="77777777" w:rsidR="00686765" w:rsidRDefault="00814344">
      <w:pPr>
        <w:rPr>
          <w:lang w:eastAsia="zh-TW"/>
        </w:rPr>
      </w:pPr>
      <w:r>
        <w:rPr>
          <w:rFonts w:ascii="微軟正黑體" w:eastAsia="微軟正黑體" w:hAnsi="微軟正黑體"/>
          <w:b/>
          <w:color w:val="1F4E79"/>
          <w:sz w:val="21"/>
          <w:lang w:eastAsia="zh-TW"/>
        </w:rPr>
        <w:t>表 1. HER2 表現量之分組描述性統計與假設檢定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3"/>
        <w:gridCol w:w="753"/>
        <w:gridCol w:w="1358"/>
        <w:gridCol w:w="987"/>
        <w:gridCol w:w="1284"/>
        <w:gridCol w:w="1164"/>
        <w:gridCol w:w="1439"/>
        <w:gridCol w:w="1148"/>
      </w:tblGrid>
      <w:tr w:rsidR="00686765" w14:paraId="6F9A32ED" w14:textId="77777777">
        <w:trPr>
          <w:trHeight w:val="360"/>
          <w:tblHeader/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753DF9A7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分組 (群體)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659F7307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樣本數 (n)</w:t>
            </w:r>
          </w:p>
        </w:tc>
        <w:tc>
          <w:tcPr>
            <w:tcW w:w="1872" w:type="dxa"/>
            <w:shd w:val="clear" w:color="auto" w:fill="1F4E79"/>
            <w:vAlign w:val="center"/>
          </w:tcPr>
          <w:p w14:paraId="310CBB05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平均值 ± 標準差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506F82BC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中位數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60F750EB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四分位距 (IQR)</w:t>
            </w:r>
          </w:p>
        </w:tc>
        <w:tc>
          <w:tcPr>
            <w:tcW w:w="1584" w:type="dxa"/>
            <w:shd w:val="clear" w:color="auto" w:fill="1F4E79"/>
            <w:vAlign w:val="center"/>
          </w:tcPr>
          <w:p w14:paraId="0AE8336C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極值範圍 [Min, Max]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090966DE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常態性檢定 (W, p)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48BC01B4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平均秩次 (Mean Rank)</w:t>
            </w:r>
          </w:p>
        </w:tc>
      </w:tr>
      <w:tr w:rsidR="00686765" w14:paraId="534961A0" w14:textId="77777777">
        <w:trPr>
          <w:trHeight w:val="360"/>
          <w:jc w:val="center"/>
        </w:trPr>
        <w:tc>
          <w:tcPr>
            <w:tcW w:w="2016" w:type="dxa"/>
            <w:shd w:val="clear" w:color="auto" w:fill="F2F4F8"/>
            <w:vAlign w:val="center"/>
          </w:tcPr>
          <w:p w14:paraId="09A09474" w14:textId="77777777" w:rsidR="00686765" w:rsidRDefault="00814344">
            <w:r>
              <w:rPr>
                <w:rFonts w:ascii="微軟正黑體" w:eastAsia="微軟正黑體" w:hAnsi="微軟正黑體"/>
                <w:color w:val="333333"/>
                <w:sz w:val="19"/>
              </w:rPr>
              <w:t>乳癌 (BC, group 1)</w:t>
            </w:r>
          </w:p>
        </w:tc>
        <w:tc>
          <w:tcPr>
            <w:tcW w:w="1008" w:type="dxa"/>
            <w:shd w:val="clear" w:color="auto" w:fill="F2F4F8"/>
            <w:vAlign w:val="center"/>
          </w:tcPr>
          <w:p w14:paraId="706BDE69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8</w:t>
            </w:r>
          </w:p>
        </w:tc>
        <w:tc>
          <w:tcPr>
            <w:tcW w:w="1872" w:type="dxa"/>
            <w:shd w:val="clear" w:color="auto" w:fill="F2F4F8"/>
            <w:vAlign w:val="center"/>
          </w:tcPr>
          <w:p w14:paraId="75404BCA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434.50 ± 202.05</w:t>
            </w:r>
          </w:p>
        </w:tc>
        <w:tc>
          <w:tcPr>
            <w:tcW w:w="1152" w:type="dxa"/>
            <w:shd w:val="clear" w:color="auto" w:fill="F2F4F8"/>
            <w:vAlign w:val="center"/>
          </w:tcPr>
          <w:p w14:paraId="3EA88915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446.50</w:t>
            </w:r>
          </w:p>
        </w:tc>
        <w:tc>
          <w:tcPr>
            <w:tcW w:w="1728" w:type="dxa"/>
            <w:shd w:val="clear" w:color="auto" w:fill="F2F4F8"/>
            <w:vAlign w:val="center"/>
          </w:tcPr>
          <w:p w14:paraId="629FB87A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343.25 [262.0, 605.2]</w:t>
            </w:r>
          </w:p>
        </w:tc>
        <w:tc>
          <w:tcPr>
            <w:tcW w:w="1584" w:type="dxa"/>
            <w:shd w:val="clear" w:color="auto" w:fill="F2F4F8"/>
            <w:vAlign w:val="center"/>
          </w:tcPr>
          <w:p w14:paraId="247515F6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[156, 666]</w:t>
            </w:r>
          </w:p>
        </w:tc>
        <w:tc>
          <w:tcPr>
            <w:tcW w:w="1728" w:type="dxa"/>
            <w:shd w:val="clear" w:color="auto" w:fill="F2F4F8"/>
            <w:vAlign w:val="center"/>
          </w:tcPr>
          <w:p w14:paraId="3AD83896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W=0.888, p=0.222</w:t>
            </w:r>
          </w:p>
        </w:tc>
        <w:tc>
          <w:tcPr>
            <w:tcW w:w="1440" w:type="dxa"/>
            <w:shd w:val="clear" w:color="auto" w:fill="F2F4F8"/>
            <w:vAlign w:val="center"/>
          </w:tcPr>
          <w:p w14:paraId="13FFB181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13.38</w:t>
            </w:r>
          </w:p>
        </w:tc>
      </w:tr>
      <w:tr w:rsidR="00686765" w14:paraId="6764A61F" w14:textId="77777777">
        <w:trPr>
          <w:trHeight w:val="360"/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41332711" w14:textId="77777777" w:rsidR="00686765" w:rsidRDefault="00814344">
            <w:r>
              <w:rPr>
                <w:rFonts w:ascii="微軟正黑體" w:eastAsia="微軟正黑體" w:hAnsi="微軟正黑體"/>
                <w:color w:val="333333"/>
                <w:sz w:val="19"/>
              </w:rPr>
              <w:t>肺腺癌 (LUAD, group 2)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626E9F40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9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8E03F8E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128.44 ± 25.62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DF2F43D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118.00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4C90B734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13.00 [112.0, 125.0]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66D12712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[111, 187]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00D4CDF0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W=0.731, p=0.003**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EED0EFB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5.11</w:t>
            </w:r>
          </w:p>
        </w:tc>
      </w:tr>
    </w:tbl>
    <w:p w14:paraId="1B45F112" w14:textId="77777777" w:rsidR="00686765" w:rsidRDefault="00814344">
      <w:pPr>
        <w:spacing w:before="160" w:line="300" w:lineRule="auto"/>
        <w:rPr>
          <w:lang w:eastAsia="zh-TW"/>
        </w:rPr>
      </w:pPr>
      <w:r>
        <w:rPr>
          <w:rFonts w:ascii="微軟正黑體" w:eastAsia="微軟正黑體" w:hAnsi="微軟正黑體"/>
          <w:color w:val="000000"/>
          <w:sz w:val="21"/>
          <w:lang w:eastAsia="zh-TW"/>
        </w:rPr>
        <w:t>1.2 統計檢定方法評估與選擇原因：</w:t>
      </w:r>
      <w:r>
        <w:rPr>
          <w:rFonts w:ascii="微軟正黑體" w:eastAsia="微軟正黑體" w:hAnsi="微軟正黑體"/>
          <w:color w:val="000000"/>
          <w:sz w:val="21"/>
          <w:lang w:eastAsia="zh-TW"/>
        </w:rPr>
        <w:br/>
        <w:t>• 常態性檢定：Shapiro-Wilk 檢定顯示 LUAD 組之 p = 0.0033 &lt; 0.01，顯著違背常態分佈假設；且兩組樣本數均偏小 (n &lt; 30)。</w:t>
      </w:r>
      <w:r>
        <w:rPr>
          <w:rFonts w:ascii="微軟正黑體" w:eastAsia="微軟正黑體" w:hAnsi="微軟正黑體"/>
          <w:color w:val="000000"/>
          <w:sz w:val="21"/>
          <w:lang w:eastAsia="zh-TW"/>
        </w:rPr>
        <w:br/>
        <w:t>• 變異數同質性：Levene 檢定統計量 F = 52.66, p = 2.80×10⁻⁶ &lt; 0.001，顯示兩組變異數嚴重不均齊。</w:t>
      </w:r>
      <w:r>
        <w:rPr>
          <w:rFonts w:ascii="微軟正黑體" w:eastAsia="微軟正黑體" w:hAnsi="微軟正黑體"/>
          <w:color w:val="000000"/>
          <w:sz w:val="21"/>
          <w:lang w:eastAsia="zh-TW"/>
        </w:rPr>
        <w:br/>
      </w:r>
      <w:r>
        <w:rPr>
          <w:rFonts w:ascii="微軟正黑體" w:eastAsia="微軟正黑體" w:hAnsi="微軟正黑體"/>
          <w:color w:val="000000"/>
          <w:sz w:val="21"/>
          <w:lang w:eastAsia="zh-TW"/>
        </w:rPr>
        <w:lastRenderedPageBreak/>
        <w:t>• 綜合判定：由於非常態性與變異數異質性，本研究應採用「曼-惠特尼 U 檢定 (Mann-Whitney U Test)」作為最適分析工具。</w:t>
      </w:r>
    </w:p>
    <w:p w14:paraId="653DF20A" w14:textId="77777777" w:rsidR="00686765" w:rsidRDefault="00814344">
      <w:pPr>
        <w:spacing w:before="120" w:line="300" w:lineRule="auto"/>
        <w:rPr>
          <w:lang w:eastAsia="zh-TW"/>
        </w:rPr>
      </w:pPr>
      <w:r>
        <w:rPr>
          <w:rFonts w:ascii="微軟正黑體" w:eastAsia="微軟正黑體" w:hAnsi="微軟正黑體"/>
          <w:color w:val="000000"/>
          <w:sz w:val="21"/>
          <w:lang w:eastAsia="zh-TW"/>
        </w:rPr>
        <w:t>1.3 統計檢定結果與學術結論：</w:t>
      </w:r>
      <w:r>
        <w:rPr>
          <w:rFonts w:ascii="微軟正黑體" w:eastAsia="微軟正黑體" w:hAnsi="微軟正黑體"/>
          <w:color w:val="000000"/>
          <w:sz w:val="21"/>
          <w:lang w:eastAsia="zh-TW"/>
        </w:rPr>
        <w:br/>
        <w:t>• 秩和與 U 值：BC 組秩和 W_BC = 107.0 (平均秩次 = 13.38)；LUAD 組秩和 W_LUAD = 46.0 (平均秩次 = 5.11)。</w:t>
      </w:r>
      <w:r>
        <w:rPr>
          <w:rFonts w:ascii="微軟正黑體" w:eastAsia="微軟正黑體" w:hAnsi="微軟正黑體"/>
          <w:color w:val="000000"/>
          <w:sz w:val="21"/>
          <w:lang w:eastAsia="zh-TW"/>
        </w:rPr>
        <w:br/>
      </w:r>
      <w:r>
        <w:rPr>
          <w:rFonts w:ascii="微軟正黑體" w:eastAsia="微軟正黑體" w:hAnsi="微軟正黑體"/>
          <w:color w:val="000000"/>
          <w:sz w:val="21"/>
        </w:rPr>
        <w:t>• 曼-惠特尼 U 統計量：U_BC = 71.0, U_LUAD = 1.0 (SPSS 輸出取較小值 U = 1.0)，雙尾顯著性 p = 0.0009 &lt; 0.001。</w:t>
      </w:r>
      <w:r>
        <w:rPr>
          <w:rFonts w:ascii="微軟正黑體" w:eastAsia="微軟正黑體" w:hAnsi="微軟正黑體"/>
          <w:color w:val="000000"/>
          <w:sz w:val="21"/>
        </w:rPr>
        <w:br/>
        <w:t>• 效應值 (Effect Size)：Rank-biserial correlation r = 0.972，標準化常態轉換效應值 r = 0.817，皆屬於極大效應量 (Large effect)。</w:t>
      </w:r>
      <w:r>
        <w:rPr>
          <w:rFonts w:ascii="微軟正黑體" w:eastAsia="微軟正黑體" w:hAnsi="微軟正黑體"/>
          <w:color w:val="000000"/>
          <w:sz w:val="21"/>
        </w:rPr>
        <w:br/>
      </w:r>
      <w:r>
        <w:rPr>
          <w:rFonts w:ascii="微軟正黑體" w:eastAsia="微軟正黑體" w:hAnsi="微軟正黑體"/>
          <w:color w:val="000000"/>
          <w:sz w:val="21"/>
          <w:lang w:eastAsia="zh-TW"/>
        </w:rPr>
        <w:t>• 學術結論：乳癌 (BC) 患者腫瘤組織之 HER2 表現量 (中位數 446.5) 極顯著高於肺腺癌 (LUAD) 患者 (中位數 118.0) (U = 1.0, p &lt; 0.001)。</w:t>
      </w:r>
    </w:p>
    <w:p w14:paraId="147B53CF" w14:textId="77777777" w:rsidR="00686765" w:rsidRDefault="00686765">
      <w:pPr>
        <w:spacing w:before="160" w:after="40"/>
        <w:jc w:val="center"/>
        <w:rPr>
          <w:lang w:eastAsia="zh-TW"/>
        </w:rPr>
      </w:pPr>
    </w:p>
    <w:p w14:paraId="5A4AEE6F" w14:textId="77777777" w:rsidR="00686765" w:rsidRDefault="00814344">
      <w:r>
        <w:rPr>
          <w:noProof/>
        </w:rPr>
        <w:drawing>
          <wp:inline distT="0" distB="0" distL="0" distR="0" wp14:anchorId="35D9B0D0" wp14:editId="7B60E9C9">
            <wp:extent cx="45720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mann_whitney_her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080C" w14:textId="77777777" w:rsidR="00686765" w:rsidRDefault="00814344">
      <w:pPr>
        <w:spacing w:after="320"/>
        <w:jc w:val="center"/>
      </w:pPr>
      <w:r>
        <w:rPr>
          <w:rFonts w:ascii="微軟正黑體" w:eastAsia="微軟正黑體" w:hAnsi="微軟正黑體"/>
          <w:b/>
          <w:color w:val="595959"/>
          <w:sz w:val="19"/>
        </w:rPr>
        <w:t>圖 1. 乳癌 (BC) 與肺腺癌 (LUAD) 之 HER2 表現量箱形圖 (Boxplot &amp; Stripplot)</w:t>
      </w:r>
    </w:p>
    <w:p w14:paraId="2103612B" w14:textId="77777777" w:rsidR="00686765" w:rsidRDefault="00814344">
      <w:r>
        <w:lastRenderedPageBreak/>
        <w:br w:type="page"/>
      </w:r>
    </w:p>
    <w:p w14:paraId="19B379ED" w14:textId="77777777" w:rsidR="00686765" w:rsidRDefault="00814344">
      <w:pPr>
        <w:pStyle w:val="1"/>
      </w:pPr>
      <w:r>
        <w:rPr>
          <w:rFonts w:ascii="微軟正黑體" w:eastAsia="微軟正黑體" w:hAnsi="微軟正黑體"/>
          <w:color w:val="1F4E79"/>
          <w:sz w:val="30"/>
        </w:rPr>
        <w:lastRenderedPageBreak/>
        <w:t>第二部分：不同血型 (A, B, O, AB) 族群之身高差異分析</w:t>
      </w:r>
    </w:p>
    <w:p w14:paraId="155941A2" w14:textId="77777777" w:rsidR="00686765" w:rsidRDefault="00814344">
      <w:r>
        <w:rPr>
          <w:rFonts w:ascii="微軟正黑體" w:eastAsia="微軟正黑體" w:hAnsi="微軟正黑體"/>
          <w:b/>
          <w:color w:val="333333"/>
          <w:sz w:val="24"/>
        </w:rPr>
        <w:t>2.1 研究背景與資料概況</w:t>
      </w:r>
    </w:p>
    <w:p w14:paraId="1C3790BC" w14:textId="77777777" w:rsidR="00686765" w:rsidRDefault="00814344">
      <w:pPr>
        <w:spacing w:line="300" w:lineRule="auto"/>
      </w:pPr>
      <w:r>
        <w:rPr>
          <w:rFonts w:ascii="微軟正黑體" w:eastAsia="微軟正黑體" w:hAnsi="微軟正黑體"/>
          <w:color w:val="000000"/>
        </w:rPr>
        <w:t>本資料集 (KW_Blood type.xlsx) 旨在評估個體的 ABO 血型類別是否與身高 (Height, cm) 存在關聯。樣本共計 N = 44 人，依血型分為 A 型 (n=12)、B 型 (n=10)、O 型 (n=9)、AB 型 (n=13) 四組獨立樣本。</w:t>
      </w:r>
    </w:p>
    <w:p w14:paraId="1AB84E92" w14:textId="77777777" w:rsidR="00686765" w:rsidRDefault="00814344">
      <w:pPr>
        <w:rPr>
          <w:lang w:eastAsia="zh-TW"/>
        </w:rPr>
      </w:pPr>
      <w:r>
        <w:rPr>
          <w:rFonts w:ascii="微軟正黑體" w:eastAsia="微軟正黑體" w:hAnsi="微軟正黑體"/>
          <w:b/>
          <w:color w:val="1F4E79"/>
          <w:sz w:val="21"/>
          <w:lang w:eastAsia="zh-TW"/>
        </w:rPr>
        <w:t>表 2. 各血型組身高之描述性統計與檢定結果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3"/>
        <w:gridCol w:w="763"/>
        <w:gridCol w:w="1377"/>
        <w:gridCol w:w="993"/>
        <w:gridCol w:w="1298"/>
        <w:gridCol w:w="1179"/>
        <w:gridCol w:w="1424"/>
        <w:gridCol w:w="1159"/>
      </w:tblGrid>
      <w:tr w:rsidR="00686765" w14:paraId="204E7FE7" w14:textId="77777777">
        <w:trPr>
          <w:trHeight w:val="360"/>
          <w:tblHeader/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2BAAFB73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血型 (組別)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597D3E65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樣本數 (n)</w:t>
            </w:r>
          </w:p>
        </w:tc>
        <w:tc>
          <w:tcPr>
            <w:tcW w:w="1872" w:type="dxa"/>
            <w:shd w:val="clear" w:color="auto" w:fill="1F4E79"/>
            <w:vAlign w:val="center"/>
          </w:tcPr>
          <w:p w14:paraId="34CF9DCE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平均值 ± 標準差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1BE5BE02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中位數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57B701DB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四分位距 (IQR)</w:t>
            </w:r>
          </w:p>
        </w:tc>
        <w:tc>
          <w:tcPr>
            <w:tcW w:w="1584" w:type="dxa"/>
            <w:shd w:val="clear" w:color="auto" w:fill="1F4E79"/>
            <w:vAlign w:val="center"/>
          </w:tcPr>
          <w:p w14:paraId="22CF1211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極值範圍 [Min, Max]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7CF4D20A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常態性檢定 (W, p)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572ACEDB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平均秩次 (Mean Rank)</w:t>
            </w:r>
          </w:p>
        </w:tc>
      </w:tr>
      <w:tr w:rsidR="00686765" w14:paraId="41BB0955" w14:textId="77777777">
        <w:trPr>
          <w:trHeight w:val="360"/>
          <w:jc w:val="center"/>
        </w:trPr>
        <w:tc>
          <w:tcPr>
            <w:tcW w:w="1872" w:type="dxa"/>
            <w:shd w:val="clear" w:color="auto" w:fill="F2F4F8"/>
            <w:vAlign w:val="center"/>
          </w:tcPr>
          <w:p w14:paraId="7E8D7A4F" w14:textId="77777777" w:rsidR="00686765" w:rsidRDefault="00814344">
            <w:r>
              <w:rPr>
                <w:rFonts w:ascii="微軟正黑體" w:eastAsia="微軟正黑體" w:hAnsi="微軟正黑體"/>
                <w:color w:val="333333"/>
                <w:sz w:val="19"/>
              </w:rPr>
              <w:t>A 型 (group 1)</w:t>
            </w:r>
          </w:p>
        </w:tc>
        <w:tc>
          <w:tcPr>
            <w:tcW w:w="1008" w:type="dxa"/>
            <w:shd w:val="clear" w:color="auto" w:fill="F2F4F8"/>
            <w:vAlign w:val="center"/>
          </w:tcPr>
          <w:p w14:paraId="149A2E26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12</w:t>
            </w:r>
          </w:p>
        </w:tc>
        <w:tc>
          <w:tcPr>
            <w:tcW w:w="1872" w:type="dxa"/>
            <w:shd w:val="clear" w:color="auto" w:fill="F2F4F8"/>
            <w:vAlign w:val="center"/>
          </w:tcPr>
          <w:p w14:paraId="79E92E9C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174.00 ± 7.63</w:t>
            </w:r>
          </w:p>
        </w:tc>
        <w:tc>
          <w:tcPr>
            <w:tcW w:w="1152" w:type="dxa"/>
            <w:shd w:val="clear" w:color="auto" w:fill="F2F4F8"/>
            <w:vAlign w:val="center"/>
          </w:tcPr>
          <w:p w14:paraId="01AE0977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173.50</w:t>
            </w:r>
          </w:p>
        </w:tc>
        <w:tc>
          <w:tcPr>
            <w:tcW w:w="1728" w:type="dxa"/>
            <w:shd w:val="clear" w:color="auto" w:fill="F2F4F8"/>
            <w:vAlign w:val="center"/>
          </w:tcPr>
          <w:p w14:paraId="0CADD833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7.50 [170.0, 177.5]</w:t>
            </w:r>
          </w:p>
        </w:tc>
        <w:tc>
          <w:tcPr>
            <w:tcW w:w="1584" w:type="dxa"/>
            <w:shd w:val="clear" w:color="auto" w:fill="F2F4F8"/>
            <w:vAlign w:val="center"/>
          </w:tcPr>
          <w:p w14:paraId="044BD854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[158, 185]</w:t>
            </w:r>
          </w:p>
        </w:tc>
        <w:tc>
          <w:tcPr>
            <w:tcW w:w="1728" w:type="dxa"/>
            <w:shd w:val="clear" w:color="auto" w:fill="F2F4F8"/>
            <w:vAlign w:val="center"/>
          </w:tcPr>
          <w:p w14:paraId="6CB6B0AC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W=0.939, p=0.481</w:t>
            </w:r>
          </w:p>
        </w:tc>
        <w:tc>
          <w:tcPr>
            <w:tcW w:w="1440" w:type="dxa"/>
            <w:shd w:val="clear" w:color="auto" w:fill="F2F4F8"/>
            <w:vAlign w:val="center"/>
          </w:tcPr>
          <w:p w14:paraId="37A4A0D6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26.00</w:t>
            </w:r>
          </w:p>
        </w:tc>
      </w:tr>
      <w:tr w:rsidR="00686765" w14:paraId="7DB87E2A" w14:textId="77777777">
        <w:trPr>
          <w:trHeight w:val="360"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3F61E8AE" w14:textId="77777777" w:rsidR="00686765" w:rsidRDefault="00814344">
            <w:r>
              <w:rPr>
                <w:rFonts w:ascii="微軟正黑體" w:eastAsia="微軟正黑體" w:hAnsi="微軟正黑體"/>
                <w:color w:val="333333"/>
                <w:sz w:val="19"/>
              </w:rPr>
              <w:t>B 型 (group 2)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2A283D25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10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4BE776D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171.50 ± 9.07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9F87945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173.00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4C5142C1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9.50 [167.0, 176.5]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647AB529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[157, 184]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5284D7EF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W=0.944, p=0.597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D5CD732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22.90</w:t>
            </w:r>
          </w:p>
        </w:tc>
      </w:tr>
      <w:tr w:rsidR="00686765" w14:paraId="2A3FC3ED" w14:textId="77777777">
        <w:trPr>
          <w:trHeight w:val="360"/>
          <w:jc w:val="center"/>
        </w:trPr>
        <w:tc>
          <w:tcPr>
            <w:tcW w:w="1872" w:type="dxa"/>
            <w:shd w:val="clear" w:color="auto" w:fill="F2F4F8"/>
            <w:vAlign w:val="center"/>
          </w:tcPr>
          <w:p w14:paraId="29CD0BC4" w14:textId="77777777" w:rsidR="00686765" w:rsidRDefault="00814344">
            <w:r>
              <w:rPr>
                <w:rFonts w:ascii="微軟正黑體" w:eastAsia="微軟正黑體" w:hAnsi="微軟正黑體"/>
                <w:color w:val="333333"/>
                <w:sz w:val="19"/>
              </w:rPr>
              <w:t>O 型 (group 3)</w:t>
            </w:r>
          </w:p>
        </w:tc>
        <w:tc>
          <w:tcPr>
            <w:tcW w:w="1008" w:type="dxa"/>
            <w:shd w:val="clear" w:color="auto" w:fill="F2F4F8"/>
            <w:vAlign w:val="center"/>
          </w:tcPr>
          <w:p w14:paraId="3A493772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9</w:t>
            </w:r>
          </w:p>
        </w:tc>
        <w:tc>
          <w:tcPr>
            <w:tcW w:w="1872" w:type="dxa"/>
            <w:shd w:val="clear" w:color="auto" w:fill="F2F4F8"/>
            <w:vAlign w:val="center"/>
          </w:tcPr>
          <w:p w14:paraId="25E0D0B4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170.44 ± 11.31</w:t>
            </w:r>
          </w:p>
        </w:tc>
        <w:tc>
          <w:tcPr>
            <w:tcW w:w="1152" w:type="dxa"/>
            <w:shd w:val="clear" w:color="auto" w:fill="F2F4F8"/>
            <w:vAlign w:val="center"/>
          </w:tcPr>
          <w:p w14:paraId="3CB35D63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170.00</w:t>
            </w:r>
          </w:p>
        </w:tc>
        <w:tc>
          <w:tcPr>
            <w:tcW w:w="1728" w:type="dxa"/>
            <w:shd w:val="clear" w:color="auto" w:fill="F2F4F8"/>
            <w:vAlign w:val="center"/>
          </w:tcPr>
          <w:p w14:paraId="48126A31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11.00 [166.0, 177.0]</w:t>
            </w:r>
          </w:p>
        </w:tc>
        <w:tc>
          <w:tcPr>
            <w:tcW w:w="1584" w:type="dxa"/>
            <w:shd w:val="clear" w:color="auto" w:fill="F2F4F8"/>
            <w:vAlign w:val="center"/>
          </w:tcPr>
          <w:p w14:paraId="0580C1BB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[154, 187]</w:t>
            </w:r>
          </w:p>
        </w:tc>
        <w:tc>
          <w:tcPr>
            <w:tcW w:w="1728" w:type="dxa"/>
            <w:shd w:val="clear" w:color="auto" w:fill="F2F4F8"/>
            <w:vAlign w:val="center"/>
          </w:tcPr>
          <w:p w14:paraId="3794D3F0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W=0.942, p=0.606</w:t>
            </w:r>
          </w:p>
        </w:tc>
        <w:tc>
          <w:tcPr>
            <w:tcW w:w="1440" w:type="dxa"/>
            <w:shd w:val="clear" w:color="auto" w:fill="F2F4F8"/>
            <w:vAlign w:val="center"/>
          </w:tcPr>
          <w:p w14:paraId="63937015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20.83</w:t>
            </w:r>
          </w:p>
        </w:tc>
      </w:tr>
      <w:tr w:rsidR="00686765" w14:paraId="2F1CD05E" w14:textId="77777777">
        <w:trPr>
          <w:trHeight w:val="360"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6B4C1CF5" w14:textId="77777777" w:rsidR="00686765" w:rsidRDefault="00814344">
            <w:r>
              <w:rPr>
                <w:rFonts w:ascii="微軟正黑體" w:eastAsia="微軟正黑體" w:hAnsi="微軟正黑體"/>
                <w:color w:val="333333"/>
                <w:sz w:val="19"/>
              </w:rPr>
              <w:t>AB 型 (group 4)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61FFD63E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13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ECAF073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169.92 ± 9.11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A774325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172.00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0C57B457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9.00 [165.0, 174.0]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1BAE358A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[154, 185]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0548B100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W=0.978, p=0.970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0BAF383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20.12</w:t>
            </w:r>
          </w:p>
        </w:tc>
      </w:tr>
    </w:tbl>
    <w:p w14:paraId="7F726F93" w14:textId="77777777" w:rsidR="00686765" w:rsidRDefault="00814344">
      <w:pPr>
        <w:spacing w:before="160" w:line="300" w:lineRule="auto"/>
        <w:rPr>
          <w:lang w:eastAsia="zh-TW"/>
        </w:rPr>
      </w:pPr>
      <w:r>
        <w:rPr>
          <w:rFonts w:ascii="微軟正黑體" w:eastAsia="微軟正黑體" w:hAnsi="微軟正黑體"/>
          <w:color w:val="000000"/>
          <w:sz w:val="21"/>
          <w:lang w:eastAsia="zh-TW"/>
        </w:rPr>
        <w:t>2.2 統計檢定方法評估與結果：</w:t>
      </w:r>
      <w:r>
        <w:rPr>
          <w:rFonts w:ascii="微軟正黑體" w:eastAsia="微軟正黑體" w:hAnsi="微軟正黑體"/>
          <w:color w:val="000000"/>
          <w:sz w:val="21"/>
          <w:lang w:eastAsia="zh-TW"/>
        </w:rPr>
        <w:br/>
        <w:t>• 常態性與同質性檢定：四組之 Shapiro-Wilk 常態性檢定 p 值均大於 0.05 (A型 p=0.481, B型 p=0.597, O型 p=0.606, AB型 p=0.970)；Levene 變異數同質性檢定 F = 0.456, p = 0.714 &gt; 0.05，滿足變異數均齊假設。</w:t>
      </w:r>
      <w:r>
        <w:rPr>
          <w:rFonts w:ascii="微軟正黑體" w:eastAsia="微軟正黑體" w:hAnsi="微軟正黑體"/>
          <w:color w:val="000000"/>
          <w:sz w:val="21"/>
          <w:lang w:eastAsia="zh-TW"/>
        </w:rPr>
        <w:br/>
      </w:r>
      <w:r>
        <w:rPr>
          <w:rFonts w:ascii="微軟正黑體" w:eastAsia="微軟正黑體" w:hAnsi="微軟正黑體"/>
          <w:color w:val="000000"/>
          <w:sz w:val="21"/>
        </w:rPr>
        <w:t>• Kruskal-Wallis 檢定 (非母數分析)：H 統計量 = 1.507, 自由度 df = 3, p = 0.681 &gt; 0.05。</w:t>
      </w:r>
      <w:r>
        <w:rPr>
          <w:rFonts w:ascii="微軟正黑體" w:eastAsia="微軟正黑體" w:hAnsi="微軟正黑體"/>
          <w:color w:val="000000"/>
          <w:sz w:val="21"/>
        </w:rPr>
        <w:br/>
        <w:t>• 單因子變異數分析 (One-way ANOVA 母數對照)：F = 0.460, df = (3, 40), p = 0.712 &gt; 0.05。</w:t>
      </w:r>
      <w:r>
        <w:rPr>
          <w:rFonts w:ascii="微軟正黑體" w:eastAsia="微軟正黑體" w:hAnsi="微軟正黑體"/>
          <w:color w:val="000000"/>
          <w:sz w:val="21"/>
        </w:rPr>
        <w:br/>
        <w:t>• 效應值：Epsilon-squared ε² = 0.000 ≈ 0.000，表示分組對身高無解釋力。</w:t>
      </w:r>
      <w:r>
        <w:rPr>
          <w:rFonts w:ascii="微軟正黑體" w:eastAsia="微軟正黑體" w:hAnsi="微軟正黑體"/>
          <w:color w:val="000000"/>
          <w:sz w:val="21"/>
        </w:rPr>
        <w:br/>
        <w:t>• 學術結論：無論使用非母數 Kruskal-Wallis 檢定或母數 ANOVA 檢定，p 值均遠大於 0.05，無法拒</w:t>
      </w:r>
      <w:r>
        <w:rPr>
          <w:rFonts w:ascii="微軟正黑體" w:eastAsia="微軟正黑體" w:hAnsi="微軟正黑體"/>
          <w:color w:val="000000"/>
          <w:sz w:val="21"/>
        </w:rPr>
        <w:lastRenderedPageBreak/>
        <w:t>絕虛無假設 H₀。</w:t>
      </w:r>
      <w:r>
        <w:rPr>
          <w:rFonts w:ascii="微軟正黑體" w:eastAsia="微軟正黑體" w:hAnsi="微軟正黑體"/>
          <w:color w:val="000000"/>
          <w:sz w:val="21"/>
          <w:lang w:eastAsia="zh-TW"/>
        </w:rPr>
        <w:t>研究結果證實：不同血型族群在身高表現上無統計學顯著差異，血型與身高發展無顯著關聯。</w:t>
      </w:r>
    </w:p>
    <w:p w14:paraId="642F5AE7" w14:textId="77777777" w:rsidR="00686765" w:rsidRDefault="00686765">
      <w:pPr>
        <w:spacing w:before="160" w:after="40"/>
        <w:jc w:val="center"/>
        <w:rPr>
          <w:lang w:eastAsia="zh-TW"/>
        </w:rPr>
      </w:pPr>
    </w:p>
    <w:p w14:paraId="07BF3D8B" w14:textId="77777777" w:rsidR="00686765" w:rsidRDefault="00814344">
      <w:r>
        <w:rPr>
          <w:noProof/>
        </w:rPr>
        <w:drawing>
          <wp:inline distT="0" distB="0" distL="0" distR="0" wp14:anchorId="4FF5B622" wp14:editId="205928C5">
            <wp:extent cx="4572000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kw_blood_type_he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A701" w14:textId="77777777" w:rsidR="00686765" w:rsidRDefault="00814344">
      <w:pPr>
        <w:spacing w:after="320"/>
        <w:jc w:val="center"/>
        <w:rPr>
          <w:lang w:eastAsia="zh-TW"/>
        </w:rPr>
      </w:pPr>
      <w:r>
        <w:rPr>
          <w:rFonts w:ascii="微軟正黑體" w:eastAsia="微軟正黑體" w:hAnsi="微軟正黑體"/>
          <w:b/>
          <w:color w:val="595959"/>
          <w:sz w:val="19"/>
          <w:lang w:eastAsia="zh-TW"/>
        </w:rPr>
        <w:t>圖 2. 各血型族群之身高分佈箱形圖 (Boxplot &amp; Stripplot)</w:t>
      </w:r>
    </w:p>
    <w:p w14:paraId="371BC355" w14:textId="77777777" w:rsidR="00686765" w:rsidRDefault="00814344">
      <w:pPr>
        <w:rPr>
          <w:lang w:eastAsia="zh-TW"/>
        </w:rPr>
      </w:pPr>
      <w:r>
        <w:rPr>
          <w:lang w:eastAsia="zh-TW"/>
        </w:rPr>
        <w:br w:type="page"/>
      </w:r>
    </w:p>
    <w:p w14:paraId="3F2151EB" w14:textId="77777777" w:rsidR="00686765" w:rsidRDefault="00814344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1F4E79"/>
          <w:sz w:val="30"/>
          <w:lang w:eastAsia="zh-TW"/>
        </w:rPr>
        <w:lastRenderedPageBreak/>
        <w:t>第三部分：四大職業運動聯盟球員薪資與年齡分析</w:t>
      </w:r>
    </w:p>
    <w:p w14:paraId="7C508D7E" w14:textId="77777777" w:rsidR="00686765" w:rsidRDefault="00814344">
      <w:pPr>
        <w:rPr>
          <w:lang w:eastAsia="zh-TW"/>
        </w:rPr>
      </w:pPr>
      <w:r>
        <w:rPr>
          <w:rFonts w:ascii="微軟正黑體" w:eastAsia="微軟正黑體" w:hAnsi="微軟正黑體"/>
          <w:b/>
          <w:color w:val="333333"/>
          <w:sz w:val="24"/>
          <w:lang w:eastAsia="zh-TW"/>
        </w:rPr>
        <w:t>3.1 研究背景與資料概況</w:t>
      </w:r>
    </w:p>
    <w:p w14:paraId="395114E8" w14:textId="77777777" w:rsidR="00686765" w:rsidRDefault="00814344">
      <w:pPr>
        <w:spacing w:line="300" w:lineRule="auto"/>
        <w:rPr>
          <w:lang w:eastAsia="zh-TW"/>
        </w:rPr>
      </w:pPr>
      <w:r>
        <w:rPr>
          <w:rFonts w:ascii="微軟正黑體" w:eastAsia="微軟正黑體" w:hAnsi="微軟正黑體"/>
          <w:color w:val="000000"/>
          <w:lang w:eastAsia="zh-TW"/>
        </w:rPr>
        <w:t>本資料集 (KW_Pro_salary.xlsx) 納入北美四大職業運動賽事頂尖球員：NBA (男子籃球, n=10)、MLB (男子棒球, n=10)、NFL (美式足球, n=10) 以及 WNBA (女子籃球, n=10)，總計 N = 40 名運動員。主要探討不同職業運動聯盟在「年薪 (Annual Salary)」與「年齡 (Age)」上的結構性差異，並兼評男女性別薪資鴻溝。</w:t>
      </w:r>
    </w:p>
    <w:p w14:paraId="769BE51D" w14:textId="77777777" w:rsidR="00686765" w:rsidRDefault="00814344">
      <w:pPr>
        <w:rPr>
          <w:lang w:eastAsia="zh-TW"/>
        </w:rPr>
      </w:pPr>
      <w:r>
        <w:rPr>
          <w:rFonts w:ascii="微軟正黑體" w:eastAsia="微軟正黑體" w:hAnsi="微軟正黑體"/>
          <w:b/>
          <w:color w:val="1F4E79"/>
          <w:sz w:val="21"/>
          <w:lang w:eastAsia="zh-TW"/>
        </w:rPr>
        <w:t>表 3. 各職業運動聯盟年薪 (美元) 之描述性統計與檢定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92"/>
        <w:gridCol w:w="643"/>
        <w:gridCol w:w="1644"/>
        <w:gridCol w:w="1644"/>
        <w:gridCol w:w="1574"/>
        <w:gridCol w:w="1464"/>
        <w:gridCol w:w="1215"/>
      </w:tblGrid>
      <w:tr w:rsidR="00686765" w14:paraId="2F528A25" w14:textId="77777777">
        <w:trPr>
          <w:trHeight w:val="360"/>
          <w:tblHeader/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55B18BC2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聯盟 (運動項目)</w:t>
            </w:r>
          </w:p>
        </w:tc>
        <w:tc>
          <w:tcPr>
            <w:tcW w:w="864" w:type="dxa"/>
            <w:shd w:val="clear" w:color="auto" w:fill="1F4E79"/>
            <w:vAlign w:val="center"/>
          </w:tcPr>
          <w:p w14:paraId="174B85FE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樣本數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4760260F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平均年薪 (美元)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4EA0DD8C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中位數年薪 (美元)</w:t>
            </w:r>
          </w:p>
        </w:tc>
        <w:tc>
          <w:tcPr>
            <w:tcW w:w="1872" w:type="dxa"/>
            <w:shd w:val="clear" w:color="auto" w:fill="1F4E79"/>
            <w:vAlign w:val="center"/>
          </w:tcPr>
          <w:p w14:paraId="0C60245F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四分位距 (IQR)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5F600230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常態檢定 (W, p)</w:t>
            </w:r>
          </w:p>
        </w:tc>
        <w:tc>
          <w:tcPr>
            <w:tcW w:w="1584" w:type="dxa"/>
            <w:shd w:val="clear" w:color="auto" w:fill="1F4E79"/>
            <w:vAlign w:val="center"/>
          </w:tcPr>
          <w:p w14:paraId="0140D5B1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平均秩次 (Salary Rank)</w:t>
            </w:r>
          </w:p>
        </w:tc>
      </w:tr>
      <w:tr w:rsidR="00686765" w14:paraId="74D69F7C" w14:textId="77777777">
        <w:trPr>
          <w:trHeight w:val="360"/>
          <w:jc w:val="center"/>
        </w:trPr>
        <w:tc>
          <w:tcPr>
            <w:tcW w:w="2016" w:type="dxa"/>
            <w:shd w:val="clear" w:color="auto" w:fill="F2F4F8"/>
            <w:vAlign w:val="center"/>
          </w:tcPr>
          <w:p w14:paraId="0C8A72AE" w14:textId="77777777" w:rsidR="00686765" w:rsidRDefault="00814344">
            <w:r>
              <w:rPr>
                <w:rFonts w:ascii="微軟正黑體" w:eastAsia="微軟正黑體" w:hAnsi="微軟正黑體"/>
                <w:color w:val="333333"/>
                <w:sz w:val="19"/>
              </w:rPr>
              <w:t>NBA (男子籃球)</w:t>
            </w:r>
          </w:p>
        </w:tc>
        <w:tc>
          <w:tcPr>
            <w:tcW w:w="864" w:type="dxa"/>
            <w:shd w:val="clear" w:color="auto" w:fill="F2F4F8"/>
            <w:vAlign w:val="center"/>
          </w:tcPr>
          <w:p w14:paraId="365E35E5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10</w:t>
            </w:r>
          </w:p>
        </w:tc>
        <w:tc>
          <w:tcPr>
            <w:tcW w:w="2016" w:type="dxa"/>
            <w:shd w:val="clear" w:color="auto" w:fill="F2F4F8"/>
            <w:vAlign w:val="center"/>
          </w:tcPr>
          <w:p w14:paraId="5746689F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$45,464,546</w:t>
            </w:r>
          </w:p>
        </w:tc>
        <w:tc>
          <w:tcPr>
            <w:tcW w:w="2016" w:type="dxa"/>
            <w:shd w:val="clear" w:color="auto" w:fill="F2F4F8"/>
            <w:vAlign w:val="center"/>
          </w:tcPr>
          <w:p w14:paraId="4328766D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$46,623,717</w:t>
            </w:r>
          </w:p>
        </w:tc>
        <w:tc>
          <w:tcPr>
            <w:tcW w:w="1872" w:type="dxa"/>
            <w:shd w:val="clear" w:color="auto" w:fill="F2F4F8"/>
            <w:vAlign w:val="center"/>
          </w:tcPr>
          <w:p w14:paraId="02540533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$10,433,694</w:t>
            </w:r>
          </w:p>
        </w:tc>
        <w:tc>
          <w:tcPr>
            <w:tcW w:w="1728" w:type="dxa"/>
            <w:shd w:val="clear" w:color="auto" w:fill="F2F4F8"/>
            <w:vAlign w:val="center"/>
          </w:tcPr>
          <w:p w14:paraId="6C582195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W=0.949, p=0.662</w:t>
            </w:r>
          </w:p>
        </w:tc>
        <w:tc>
          <w:tcPr>
            <w:tcW w:w="1584" w:type="dxa"/>
            <w:shd w:val="clear" w:color="auto" w:fill="F2F4F8"/>
            <w:vAlign w:val="center"/>
          </w:tcPr>
          <w:p w14:paraId="0C0D49D8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24.20</w:t>
            </w:r>
          </w:p>
        </w:tc>
      </w:tr>
      <w:tr w:rsidR="00686765" w14:paraId="2A6A3684" w14:textId="77777777">
        <w:trPr>
          <w:trHeight w:val="360"/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68B144D7" w14:textId="77777777" w:rsidR="00686765" w:rsidRDefault="00814344">
            <w:r>
              <w:rPr>
                <w:rFonts w:ascii="微軟正黑體" w:eastAsia="微軟正黑體" w:hAnsi="微軟正黑體"/>
                <w:color w:val="333333"/>
                <w:sz w:val="19"/>
              </w:rPr>
              <w:t>MLB (男子棒球)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73AAE26A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10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7DBCF570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$42,370,833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5520D07C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$38,500,000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6EAF631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$7,677,083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5EF3AB23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W=0.780, p=0.008**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44F948CA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20.05</w:t>
            </w:r>
          </w:p>
        </w:tc>
      </w:tr>
      <w:tr w:rsidR="00686765" w14:paraId="37E43A19" w14:textId="77777777">
        <w:trPr>
          <w:trHeight w:val="360"/>
          <w:jc w:val="center"/>
        </w:trPr>
        <w:tc>
          <w:tcPr>
            <w:tcW w:w="2016" w:type="dxa"/>
            <w:shd w:val="clear" w:color="auto" w:fill="F2F4F8"/>
            <w:vAlign w:val="center"/>
          </w:tcPr>
          <w:p w14:paraId="47BA2438" w14:textId="77777777" w:rsidR="00686765" w:rsidRDefault="00814344">
            <w:r>
              <w:rPr>
                <w:rFonts w:ascii="微軟正黑體" w:eastAsia="微軟正黑體" w:hAnsi="微軟正黑體"/>
                <w:color w:val="333333"/>
                <w:sz w:val="19"/>
              </w:rPr>
              <w:t>NFL (美式足球)</w:t>
            </w:r>
          </w:p>
        </w:tc>
        <w:tc>
          <w:tcPr>
            <w:tcW w:w="864" w:type="dxa"/>
            <w:shd w:val="clear" w:color="auto" w:fill="F2F4F8"/>
            <w:vAlign w:val="center"/>
          </w:tcPr>
          <w:p w14:paraId="4B0C5002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10</w:t>
            </w:r>
          </w:p>
        </w:tc>
        <w:tc>
          <w:tcPr>
            <w:tcW w:w="2016" w:type="dxa"/>
            <w:shd w:val="clear" w:color="auto" w:fill="F2F4F8"/>
            <w:vAlign w:val="center"/>
          </w:tcPr>
          <w:p w14:paraId="32664A7F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$52,460,000</w:t>
            </w:r>
          </w:p>
        </w:tc>
        <w:tc>
          <w:tcPr>
            <w:tcW w:w="2016" w:type="dxa"/>
            <w:shd w:val="clear" w:color="auto" w:fill="F2F4F8"/>
            <w:vAlign w:val="center"/>
          </w:tcPr>
          <w:p w14:paraId="1944C7F3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$52,750,000</w:t>
            </w:r>
          </w:p>
        </w:tc>
        <w:tc>
          <w:tcPr>
            <w:tcW w:w="1872" w:type="dxa"/>
            <w:shd w:val="clear" w:color="auto" w:fill="F2F4F8"/>
            <w:vAlign w:val="center"/>
          </w:tcPr>
          <w:p w14:paraId="7EB778A2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$3,750,000</w:t>
            </w:r>
          </w:p>
        </w:tc>
        <w:tc>
          <w:tcPr>
            <w:tcW w:w="1728" w:type="dxa"/>
            <w:shd w:val="clear" w:color="auto" w:fill="F2F4F8"/>
            <w:vAlign w:val="center"/>
          </w:tcPr>
          <w:p w14:paraId="5F9BEA5E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W=0.934, p=0.483</w:t>
            </w:r>
          </w:p>
        </w:tc>
        <w:tc>
          <w:tcPr>
            <w:tcW w:w="1584" w:type="dxa"/>
            <w:shd w:val="clear" w:color="auto" w:fill="F2F4F8"/>
            <w:vAlign w:val="center"/>
          </w:tcPr>
          <w:p w14:paraId="7B7AFA60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32.25</w:t>
            </w:r>
          </w:p>
        </w:tc>
      </w:tr>
      <w:tr w:rsidR="00686765" w14:paraId="77BC844D" w14:textId="77777777">
        <w:trPr>
          <w:trHeight w:val="360"/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4995A96C" w14:textId="77777777" w:rsidR="00686765" w:rsidRDefault="00814344">
            <w:r>
              <w:rPr>
                <w:rFonts w:ascii="微軟正黑體" w:eastAsia="微軟正黑體" w:hAnsi="微軟正黑體"/>
                <w:color w:val="333333"/>
                <w:sz w:val="19"/>
              </w:rPr>
              <w:t>WNBA (女子籃球)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0D9173FF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10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201BB65C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$199,922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622FAE27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$203,500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A38F9FD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$8,931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56DB475C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W=0.699, p=0.001***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354D7634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5.50</w:t>
            </w:r>
          </w:p>
        </w:tc>
      </w:tr>
    </w:tbl>
    <w:p w14:paraId="162C6EE4" w14:textId="77777777" w:rsidR="00686765" w:rsidRDefault="00814344">
      <w:pPr>
        <w:spacing w:before="160" w:line="300" w:lineRule="auto"/>
        <w:rPr>
          <w:lang w:eastAsia="zh-TW"/>
        </w:rPr>
      </w:pPr>
      <w:r>
        <w:rPr>
          <w:rFonts w:ascii="微軟正黑體" w:eastAsia="微軟正黑體" w:hAnsi="微軟正黑體"/>
          <w:color w:val="000000"/>
          <w:sz w:val="21"/>
          <w:lang w:eastAsia="zh-TW"/>
        </w:rPr>
        <w:t>3.2 年薪檢定方法與 Kruskal-Wallis 檢定結果：</w:t>
      </w:r>
      <w:r>
        <w:rPr>
          <w:rFonts w:ascii="微軟正黑體" w:eastAsia="微軟正黑體" w:hAnsi="微軟正黑體"/>
          <w:color w:val="000000"/>
          <w:sz w:val="21"/>
          <w:lang w:eastAsia="zh-TW"/>
        </w:rPr>
        <w:br/>
        <w:t>• 常態性與同質性檢定：MLB (p = 0.0083) 與 WNBA (p = 0.00087) 嚴重違背常態分佈假設；Levene 變異數同質性檢定 F = 3.715, p = 0.020 &lt; 0.05，變異數顯著不均齊。因此必須採用非母數統計檢定。</w:t>
      </w:r>
      <w:r>
        <w:rPr>
          <w:rFonts w:ascii="微軟正黑體" w:eastAsia="微軟正黑體" w:hAnsi="微軟正黑體"/>
          <w:color w:val="000000"/>
          <w:sz w:val="21"/>
          <w:lang w:eastAsia="zh-TW"/>
        </w:rPr>
        <w:br/>
        <w:t>• Kruskal-Wallis 檢定結果：H 統計量 = 27.611, 自由度 df = 3, p = 4.38e-06 &lt; 0.001，達極高度統計顯著差異。</w:t>
      </w:r>
      <w:r>
        <w:rPr>
          <w:rFonts w:ascii="微軟正黑體" w:eastAsia="微軟正黑體" w:hAnsi="微軟正黑體"/>
          <w:color w:val="000000"/>
          <w:sz w:val="21"/>
          <w:lang w:eastAsia="zh-TW"/>
        </w:rPr>
        <w:br/>
        <w:t xml:space="preserve">• 效應值：Epsilon-squared </w:t>
      </w:r>
      <w:r>
        <w:rPr>
          <w:rFonts w:ascii="微軟正黑體" w:eastAsia="微軟正黑體" w:hAnsi="微軟正黑體"/>
          <w:color w:val="000000"/>
          <w:sz w:val="21"/>
        </w:rPr>
        <w:t>ε</w:t>
      </w:r>
      <w:r>
        <w:rPr>
          <w:rFonts w:ascii="微軟正黑體" w:eastAsia="微軟正黑體" w:hAnsi="微軟正黑體"/>
          <w:color w:val="000000"/>
          <w:sz w:val="21"/>
          <w:lang w:eastAsia="zh-TW"/>
        </w:rPr>
        <w:t>² = 0.684，表示高達 68.4% 的薪資秩次變異可由所屬職業運動聯盟解釋 (超大型效應量)。</w:t>
      </w:r>
      <w:r>
        <w:rPr>
          <w:rFonts w:ascii="微軟正黑體" w:eastAsia="微軟正黑體" w:hAnsi="微軟正黑體"/>
          <w:color w:val="000000"/>
          <w:sz w:val="21"/>
          <w:lang w:eastAsia="zh-TW"/>
        </w:rPr>
        <w:br/>
      </w:r>
      <w:r>
        <w:rPr>
          <w:rFonts w:ascii="微軟正黑體" w:eastAsia="微軟正黑體" w:hAnsi="微軟正黑體"/>
          <w:color w:val="000000"/>
          <w:sz w:val="21"/>
          <w:lang w:eastAsia="zh-TW"/>
        </w:rPr>
        <w:lastRenderedPageBreak/>
        <w:t>• 性別差異 Mann-Whitney U 檢定：男運動員 (n=30) vs 女運動員 (n=10) 年薪檢定統計量 U = 300.0, p = 2.98e-06 &lt; 0.001，兩性薪資存在巨大鴻溝。</w:t>
      </w:r>
    </w:p>
    <w:p w14:paraId="41A6F07A" w14:textId="77777777" w:rsidR="00686765" w:rsidRDefault="00814344">
      <w:r>
        <w:rPr>
          <w:rFonts w:ascii="微軟正黑體" w:eastAsia="微軟正黑體" w:hAnsi="微軟正黑體"/>
          <w:b/>
          <w:color w:val="1F4E79"/>
          <w:sz w:val="21"/>
        </w:rPr>
        <w:t>表 4. 年薪之 Dunn's 事後多重比較 (Dunn's Post-Hoc Test with Bonferroni Correction)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51"/>
        <w:gridCol w:w="1385"/>
        <w:gridCol w:w="1271"/>
        <w:gridCol w:w="1432"/>
        <w:gridCol w:w="1842"/>
        <w:gridCol w:w="1795"/>
      </w:tblGrid>
      <w:tr w:rsidR="00686765" w14:paraId="0A700EC9" w14:textId="77777777">
        <w:trPr>
          <w:trHeight w:val="360"/>
          <w:tblHeader/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3C645562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兩兩比較分組</w:t>
            </w:r>
          </w:p>
        </w:tc>
        <w:tc>
          <w:tcPr>
            <w:tcW w:w="1584" w:type="dxa"/>
            <w:shd w:val="clear" w:color="auto" w:fill="1F4E79"/>
            <w:vAlign w:val="center"/>
          </w:tcPr>
          <w:p w14:paraId="702C5B01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平均秩次差 (Diff)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70AC1D5C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標準化 Z 值</w:t>
            </w:r>
          </w:p>
        </w:tc>
        <w:tc>
          <w:tcPr>
            <w:tcW w:w="1584" w:type="dxa"/>
            <w:shd w:val="clear" w:color="auto" w:fill="1F4E79"/>
            <w:vAlign w:val="center"/>
          </w:tcPr>
          <w:p w14:paraId="15EF571F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原始 p 值 (Raw p)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19EE0E1D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Bonferroni 校正 p 值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5CA03DCF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顯著性判定 (α=0.05)</w:t>
            </w:r>
          </w:p>
        </w:tc>
      </w:tr>
      <w:tr w:rsidR="00686765" w14:paraId="4A1EB74E" w14:textId="77777777">
        <w:trPr>
          <w:trHeight w:val="360"/>
          <w:jc w:val="center"/>
        </w:trPr>
        <w:tc>
          <w:tcPr>
            <w:tcW w:w="2160" w:type="dxa"/>
            <w:shd w:val="clear" w:color="auto" w:fill="F2F4F8"/>
            <w:vAlign w:val="center"/>
          </w:tcPr>
          <w:p w14:paraId="07F3EDAB" w14:textId="77777777" w:rsidR="00686765" w:rsidRDefault="00814344">
            <w:r>
              <w:rPr>
                <w:rFonts w:ascii="微軟正黑體" w:eastAsia="微軟正黑體" w:hAnsi="微軟正黑體"/>
                <w:color w:val="333333"/>
                <w:sz w:val="19"/>
              </w:rPr>
              <w:t>NBA vs MLB</w:t>
            </w:r>
          </w:p>
        </w:tc>
        <w:tc>
          <w:tcPr>
            <w:tcW w:w="1584" w:type="dxa"/>
            <w:shd w:val="clear" w:color="auto" w:fill="F2F4F8"/>
            <w:vAlign w:val="center"/>
          </w:tcPr>
          <w:p w14:paraId="33F178E3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4.15</w:t>
            </w:r>
          </w:p>
        </w:tc>
        <w:tc>
          <w:tcPr>
            <w:tcW w:w="1440" w:type="dxa"/>
            <w:shd w:val="clear" w:color="auto" w:fill="F2F4F8"/>
            <w:vAlign w:val="center"/>
          </w:tcPr>
          <w:p w14:paraId="51B7660B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0.794</w:t>
            </w:r>
          </w:p>
        </w:tc>
        <w:tc>
          <w:tcPr>
            <w:tcW w:w="1584" w:type="dxa"/>
            <w:shd w:val="clear" w:color="auto" w:fill="F2F4F8"/>
            <w:vAlign w:val="center"/>
          </w:tcPr>
          <w:p w14:paraId="03D29C13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0.42732</w:t>
            </w:r>
          </w:p>
        </w:tc>
        <w:tc>
          <w:tcPr>
            <w:tcW w:w="2016" w:type="dxa"/>
            <w:shd w:val="clear" w:color="auto" w:fill="F2F4F8"/>
            <w:vAlign w:val="center"/>
          </w:tcPr>
          <w:p w14:paraId="41BA43D8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1.00000</w:t>
            </w:r>
          </w:p>
        </w:tc>
        <w:tc>
          <w:tcPr>
            <w:tcW w:w="2016" w:type="dxa"/>
            <w:shd w:val="clear" w:color="auto" w:fill="F2F4F8"/>
            <w:vAlign w:val="center"/>
          </w:tcPr>
          <w:p w14:paraId="21C97F20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無顯著差異 (ns)</w:t>
            </w:r>
          </w:p>
        </w:tc>
      </w:tr>
      <w:tr w:rsidR="00686765" w14:paraId="330626F5" w14:textId="77777777">
        <w:trPr>
          <w:trHeight w:val="360"/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176B0C85" w14:textId="77777777" w:rsidR="00686765" w:rsidRDefault="00814344">
            <w:r>
              <w:rPr>
                <w:rFonts w:ascii="微軟正黑體" w:eastAsia="微軟正黑體" w:hAnsi="微軟正黑體"/>
                <w:color w:val="333333"/>
                <w:sz w:val="19"/>
              </w:rPr>
              <w:t>NBA vs NFL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00CC145A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-8.05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0355F7E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-1.540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0A9D315B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0.12362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4B7B2119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0.74173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4DB1A4A5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無顯著差異 (ns)</w:t>
            </w:r>
          </w:p>
        </w:tc>
      </w:tr>
      <w:tr w:rsidR="00686765" w14:paraId="220BBAA9" w14:textId="77777777">
        <w:trPr>
          <w:trHeight w:val="360"/>
          <w:jc w:val="center"/>
        </w:trPr>
        <w:tc>
          <w:tcPr>
            <w:tcW w:w="2160" w:type="dxa"/>
            <w:shd w:val="clear" w:color="auto" w:fill="F2F4F8"/>
            <w:vAlign w:val="center"/>
          </w:tcPr>
          <w:p w14:paraId="0E1156C1" w14:textId="77777777" w:rsidR="00686765" w:rsidRDefault="00814344">
            <w:r>
              <w:rPr>
                <w:rFonts w:ascii="微軟正黑體" w:eastAsia="微軟正黑體" w:hAnsi="微軟正黑體"/>
                <w:color w:val="333333"/>
                <w:sz w:val="19"/>
              </w:rPr>
              <w:t>NBA vs WNBA</w:t>
            </w:r>
          </w:p>
        </w:tc>
        <w:tc>
          <w:tcPr>
            <w:tcW w:w="1584" w:type="dxa"/>
            <w:shd w:val="clear" w:color="auto" w:fill="F2F4F8"/>
            <w:vAlign w:val="center"/>
          </w:tcPr>
          <w:p w14:paraId="4A39E41C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18.70</w:t>
            </w:r>
          </w:p>
        </w:tc>
        <w:tc>
          <w:tcPr>
            <w:tcW w:w="1440" w:type="dxa"/>
            <w:shd w:val="clear" w:color="auto" w:fill="F2F4F8"/>
            <w:vAlign w:val="center"/>
          </w:tcPr>
          <w:p w14:paraId="29F0D047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3.577</w:t>
            </w:r>
          </w:p>
        </w:tc>
        <w:tc>
          <w:tcPr>
            <w:tcW w:w="1584" w:type="dxa"/>
            <w:shd w:val="clear" w:color="auto" w:fill="F2F4F8"/>
            <w:vAlign w:val="center"/>
          </w:tcPr>
          <w:p w14:paraId="1672FFEC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0.00035</w:t>
            </w:r>
          </w:p>
        </w:tc>
        <w:tc>
          <w:tcPr>
            <w:tcW w:w="2016" w:type="dxa"/>
            <w:shd w:val="clear" w:color="auto" w:fill="F2F4F8"/>
            <w:vAlign w:val="center"/>
          </w:tcPr>
          <w:p w14:paraId="54D0C930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0.00209</w:t>
            </w:r>
          </w:p>
        </w:tc>
        <w:tc>
          <w:tcPr>
            <w:tcW w:w="2016" w:type="dxa"/>
            <w:shd w:val="clear" w:color="auto" w:fill="F2F4F8"/>
            <w:vAlign w:val="center"/>
          </w:tcPr>
          <w:p w14:paraId="68C32913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顯著 (**)</w:t>
            </w:r>
          </w:p>
        </w:tc>
      </w:tr>
      <w:tr w:rsidR="00686765" w14:paraId="28400829" w14:textId="77777777">
        <w:trPr>
          <w:trHeight w:val="360"/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3704A96E" w14:textId="77777777" w:rsidR="00686765" w:rsidRDefault="00814344">
            <w:r>
              <w:rPr>
                <w:rFonts w:ascii="微軟正黑體" w:eastAsia="微軟正黑體" w:hAnsi="微軟正黑體"/>
                <w:color w:val="333333"/>
                <w:sz w:val="19"/>
              </w:rPr>
              <w:t>MLB vs NFL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48E4B81A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-12.20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977A0CE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-2.334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4D60ACC4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0.01962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10D0C24F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0.11772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33BB01C7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無顯著差異 (ns)</w:t>
            </w:r>
          </w:p>
        </w:tc>
      </w:tr>
      <w:tr w:rsidR="00686765" w14:paraId="1D36A332" w14:textId="77777777">
        <w:trPr>
          <w:trHeight w:val="360"/>
          <w:jc w:val="center"/>
        </w:trPr>
        <w:tc>
          <w:tcPr>
            <w:tcW w:w="2160" w:type="dxa"/>
            <w:shd w:val="clear" w:color="auto" w:fill="F2F4F8"/>
            <w:vAlign w:val="center"/>
          </w:tcPr>
          <w:p w14:paraId="3B85D0B5" w14:textId="77777777" w:rsidR="00686765" w:rsidRDefault="00814344">
            <w:r>
              <w:rPr>
                <w:rFonts w:ascii="微軟正黑體" w:eastAsia="微軟正黑體" w:hAnsi="微軟正黑體"/>
                <w:color w:val="333333"/>
                <w:sz w:val="19"/>
              </w:rPr>
              <w:t>MLB vs WNBA</w:t>
            </w:r>
          </w:p>
        </w:tc>
        <w:tc>
          <w:tcPr>
            <w:tcW w:w="1584" w:type="dxa"/>
            <w:shd w:val="clear" w:color="auto" w:fill="F2F4F8"/>
            <w:vAlign w:val="center"/>
          </w:tcPr>
          <w:p w14:paraId="17A471FE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14.55</w:t>
            </w:r>
          </w:p>
        </w:tc>
        <w:tc>
          <w:tcPr>
            <w:tcW w:w="1440" w:type="dxa"/>
            <w:shd w:val="clear" w:color="auto" w:fill="F2F4F8"/>
            <w:vAlign w:val="center"/>
          </w:tcPr>
          <w:p w14:paraId="1AB5E6A1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2.783</w:t>
            </w:r>
          </w:p>
        </w:tc>
        <w:tc>
          <w:tcPr>
            <w:tcW w:w="1584" w:type="dxa"/>
            <w:shd w:val="clear" w:color="auto" w:fill="F2F4F8"/>
            <w:vAlign w:val="center"/>
          </w:tcPr>
          <w:p w14:paraId="4F5D81A8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0.00539</w:t>
            </w:r>
          </w:p>
        </w:tc>
        <w:tc>
          <w:tcPr>
            <w:tcW w:w="2016" w:type="dxa"/>
            <w:shd w:val="clear" w:color="auto" w:fill="F2F4F8"/>
            <w:vAlign w:val="center"/>
          </w:tcPr>
          <w:p w14:paraId="5143FBB2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0.03231</w:t>
            </w:r>
          </w:p>
        </w:tc>
        <w:tc>
          <w:tcPr>
            <w:tcW w:w="2016" w:type="dxa"/>
            <w:shd w:val="clear" w:color="auto" w:fill="F2F4F8"/>
            <w:vAlign w:val="center"/>
          </w:tcPr>
          <w:p w14:paraId="381BCA8F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顯著 (*)</w:t>
            </w:r>
          </w:p>
        </w:tc>
      </w:tr>
      <w:tr w:rsidR="00686765" w14:paraId="0F6DFFBF" w14:textId="77777777">
        <w:trPr>
          <w:trHeight w:val="360"/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541F876F" w14:textId="77777777" w:rsidR="00686765" w:rsidRDefault="00814344">
            <w:r>
              <w:rPr>
                <w:rFonts w:ascii="微軟正黑體" w:eastAsia="微軟正黑體" w:hAnsi="微軟正黑體"/>
                <w:color w:val="333333"/>
                <w:sz w:val="19"/>
              </w:rPr>
              <w:t>NFL vs WNBA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589B9819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26.75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426CAB3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5.117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3F3B2A24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0.00000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5BCC7D3F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0.00000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4EEDAF61" w14:textId="77777777" w:rsidR="00686765" w:rsidRDefault="00814344">
            <w:pPr>
              <w:jc w:val="center"/>
            </w:pPr>
            <w:r>
              <w:rPr>
                <w:rFonts w:ascii="微軟正黑體" w:eastAsia="微軟正黑體" w:hAnsi="微軟正黑體"/>
                <w:color w:val="333333"/>
                <w:sz w:val="19"/>
              </w:rPr>
              <w:t>顯著 (***)</w:t>
            </w:r>
          </w:p>
        </w:tc>
      </w:tr>
    </w:tbl>
    <w:p w14:paraId="09F8FE42" w14:textId="77777777" w:rsidR="00686765" w:rsidRDefault="00814344">
      <w:pPr>
        <w:spacing w:before="160" w:line="300" w:lineRule="auto"/>
        <w:rPr>
          <w:lang w:eastAsia="zh-TW"/>
        </w:rPr>
      </w:pPr>
      <w:r>
        <w:rPr>
          <w:rFonts w:ascii="微軟正黑體" w:eastAsia="微軟正黑體" w:hAnsi="微軟正黑體"/>
          <w:color w:val="000000"/>
          <w:sz w:val="21"/>
        </w:rPr>
        <w:t>3.3 年薪事後檢定學術解讀：</w:t>
      </w:r>
      <w:r>
        <w:rPr>
          <w:rFonts w:ascii="微軟正黑體" w:eastAsia="微軟正黑體" w:hAnsi="微軟正黑體"/>
          <w:color w:val="000000"/>
          <w:sz w:val="21"/>
        </w:rPr>
        <w:br/>
        <w:t>• WNBA 的年薪顯著且大幅度落後於三大男子聯盟：WNBA vs NFL (p_bonf &lt; 0.0001)、WNBA vs NBA (p_bonf = 0.0021)、WNBA vs MLB (p_bonf = 0.0323)。</w:t>
      </w:r>
      <w:r>
        <w:rPr>
          <w:rFonts w:ascii="微軟正黑體" w:eastAsia="微軟正黑體" w:hAnsi="微軟正黑體"/>
          <w:color w:val="000000"/>
          <w:sz w:val="21"/>
          <w:lang w:eastAsia="zh-TW"/>
        </w:rPr>
        <w:t>頂尖 WNBA 球員中位數年薪僅約 20 萬美元，而三大男子聯盟頂尖合約均達 3,800 萬至 5,200 萬美元以上。</w:t>
      </w:r>
      <w:r>
        <w:rPr>
          <w:rFonts w:ascii="微軟正黑體" w:eastAsia="微軟正黑體" w:hAnsi="微軟正黑體"/>
          <w:color w:val="000000"/>
          <w:sz w:val="21"/>
          <w:lang w:eastAsia="zh-TW"/>
        </w:rPr>
        <w:br/>
        <w:t>• 三大男子聯盟之間無統計學顯著差異：NBA vs MLB (p_bonf = 1.000)、NBA vs NFL (p_bonf = 0.742)、MLB vs NFL (p_bonf = 0.118)，彼此年薪在頂尖合約層級未達統計顯著差異。</w:t>
      </w:r>
    </w:p>
    <w:p w14:paraId="303EE279" w14:textId="77777777" w:rsidR="00686765" w:rsidRDefault="00686765">
      <w:pPr>
        <w:spacing w:before="160" w:after="40"/>
        <w:jc w:val="center"/>
        <w:rPr>
          <w:lang w:eastAsia="zh-TW"/>
        </w:rPr>
      </w:pPr>
    </w:p>
    <w:p w14:paraId="77831425" w14:textId="77777777" w:rsidR="00686765" w:rsidRDefault="00814344">
      <w:r>
        <w:rPr>
          <w:noProof/>
        </w:rPr>
        <w:lastRenderedPageBreak/>
        <w:drawing>
          <wp:inline distT="0" distB="0" distL="0" distR="0" wp14:anchorId="177DCF0E" wp14:editId="507D1C7C">
            <wp:extent cx="5669280" cy="26321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kw_pro_sal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3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C7A0" w14:textId="77777777" w:rsidR="00686765" w:rsidRDefault="00814344">
      <w:pPr>
        <w:spacing w:after="320"/>
        <w:jc w:val="center"/>
        <w:rPr>
          <w:lang w:eastAsia="zh-TW"/>
        </w:rPr>
      </w:pPr>
      <w:r>
        <w:rPr>
          <w:rFonts w:ascii="微軟正黑體" w:eastAsia="微軟正黑體" w:hAnsi="微軟正黑體"/>
          <w:b/>
          <w:color w:val="595959"/>
          <w:sz w:val="19"/>
          <w:lang w:eastAsia="zh-TW"/>
        </w:rPr>
        <w:t>圖 3. 四大職業聯盟頂尖球員年薪比較 (左：線性百萬美元尺度；右：對數尺度與事後檢定標記)</w:t>
      </w:r>
    </w:p>
    <w:p w14:paraId="37FF2C74" w14:textId="77777777" w:rsidR="00686765" w:rsidRDefault="00814344">
      <w:pPr>
        <w:rPr>
          <w:lang w:eastAsia="zh-TW"/>
        </w:rPr>
      </w:pPr>
      <w:r>
        <w:rPr>
          <w:rFonts w:ascii="微軟正黑體" w:eastAsia="微軟正黑體" w:hAnsi="微軟正黑體"/>
          <w:b/>
          <w:color w:val="333333"/>
          <w:sz w:val="24"/>
          <w:lang w:eastAsia="zh-TW"/>
        </w:rPr>
        <w:t>3.4 球員年齡 (Age) 之 Kruskal-Wallis 檢定與事後分析</w:t>
      </w:r>
    </w:p>
    <w:p w14:paraId="53592433" w14:textId="77777777" w:rsidR="00686765" w:rsidRDefault="00814344">
      <w:pPr>
        <w:spacing w:line="300" w:lineRule="auto"/>
        <w:rPr>
          <w:lang w:eastAsia="zh-TW"/>
        </w:rPr>
      </w:pPr>
      <w:r>
        <w:rPr>
          <w:rFonts w:ascii="微軟正黑體" w:eastAsia="微軟正黑體" w:hAnsi="微軟正黑體"/>
          <w:color w:val="000000"/>
          <w:sz w:val="21"/>
          <w:lang w:eastAsia="zh-TW"/>
        </w:rPr>
        <w:t>• 描述統計：MLB 平均年齡最高 (33.6 ± 4.58 歲, 中位數 33.5 歲)，次為 NBA (30.2 ± 5.55 歲, 中位數 30.0 歲)，WNBA (29.8 ± 4.98 歲, 中位數 29.0 歲)，NFL 最年輕 (27.6 ± 1.96 歲, 中位數 27.5 歲)。</w:t>
      </w:r>
      <w:r>
        <w:rPr>
          <w:rFonts w:ascii="微軟正黑體" w:eastAsia="微軟正黑體" w:hAnsi="微軟正黑體"/>
          <w:color w:val="000000"/>
          <w:sz w:val="21"/>
          <w:lang w:eastAsia="zh-TW"/>
        </w:rPr>
        <w:br/>
        <w:t>• 統計檢定：Kruskal-Wallis H 統計量 = 8.831, df = 3, p = 0.0316 &lt; 0.05 (* 達顯著差異)。</w:t>
      </w:r>
      <w:r>
        <w:rPr>
          <w:rFonts w:ascii="微軟正黑體" w:eastAsia="微軟正黑體" w:hAnsi="微軟正黑體"/>
          <w:color w:val="000000"/>
          <w:sz w:val="21"/>
          <w:lang w:eastAsia="zh-TW"/>
        </w:rPr>
        <w:br/>
        <w:t>• Dunn 事後檢定：僅「MLB vs NFL」比較達統計顯著差異 (Z = 2.917, p_raw = 0.0035, p_bonf = 0.0212 &lt; 0.05)，棒球巨星年齡顯著高於美式足球四分衛；其餘各組兩兩比較校正後均無顯著差異 (p_bonf &gt; 0.05)。</w:t>
      </w:r>
    </w:p>
    <w:p w14:paraId="1DCE8C00" w14:textId="77777777" w:rsidR="00686765" w:rsidRDefault="00686765">
      <w:pPr>
        <w:spacing w:before="160" w:after="40"/>
        <w:jc w:val="center"/>
        <w:rPr>
          <w:lang w:eastAsia="zh-TW"/>
        </w:rPr>
      </w:pPr>
    </w:p>
    <w:p w14:paraId="17DD9CD1" w14:textId="77777777" w:rsidR="00686765" w:rsidRDefault="00814344">
      <w:r>
        <w:rPr>
          <w:noProof/>
        </w:rPr>
        <w:lastRenderedPageBreak/>
        <w:drawing>
          <wp:inline distT="0" distB="0" distL="0" distR="0" wp14:anchorId="6ABA9710" wp14:editId="13422EBC">
            <wp:extent cx="4572000" cy="3779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kw_pro_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B5F9" w14:textId="77777777" w:rsidR="00686765" w:rsidRDefault="00814344">
      <w:pPr>
        <w:spacing w:after="320"/>
        <w:jc w:val="center"/>
        <w:rPr>
          <w:lang w:eastAsia="zh-TW"/>
        </w:rPr>
      </w:pPr>
      <w:r>
        <w:rPr>
          <w:rFonts w:ascii="微軟正黑體" w:eastAsia="微軟正黑體" w:hAnsi="微軟正黑體"/>
          <w:b/>
          <w:color w:val="595959"/>
          <w:sz w:val="19"/>
          <w:lang w:eastAsia="zh-TW"/>
        </w:rPr>
        <w:t>圖 4. 四大職業聯盟頂尖球員年齡分佈箱形圖 (Boxplot &amp; Stripplot)</w:t>
      </w:r>
    </w:p>
    <w:p w14:paraId="40B2E634" w14:textId="77777777" w:rsidR="00686765" w:rsidRDefault="00814344">
      <w:pPr>
        <w:rPr>
          <w:lang w:eastAsia="zh-TW"/>
        </w:rPr>
      </w:pPr>
      <w:r>
        <w:rPr>
          <w:lang w:eastAsia="zh-TW"/>
        </w:rPr>
        <w:br w:type="page"/>
      </w:r>
    </w:p>
    <w:p w14:paraId="2A361D14" w14:textId="77777777" w:rsidR="00686765" w:rsidRDefault="00814344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1F4E79"/>
          <w:sz w:val="30"/>
          <w:lang w:eastAsia="zh-TW"/>
        </w:rPr>
        <w:lastRenderedPageBreak/>
        <w:t>第四部分：統計方法學總結與 SPSS 實務對照手冊</w:t>
      </w:r>
    </w:p>
    <w:p w14:paraId="790646FA" w14:textId="77777777" w:rsidR="00686765" w:rsidRDefault="00814344">
      <w:pPr>
        <w:spacing w:line="312" w:lineRule="auto"/>
        <w:rPr>
          <w:rFonts w:ascii="微軟正黑體" w:eastAsia="微軟正黑體" w:hAnsi="微軟正黑體"/>
          <w:color w:val="000000"/>
          <w:sz w:val="21"/>
          <w:lang w:eastAsia="zh-TW"/>
        </w:rPr>
      </w:pPr>
      <w:r>
        <w:rPr>
          <w:rFonts w:ascii="微軟正黑體" w:eastAsia="微軟正黑體" w:hAnsi="微軟正黑體"/>
          <w:color w:val="000000"/>
          <w:sz w:val="21"/>
        </w:rPr>
        <w:t>4.1 何時採用非母數統計 (Non-parametric Statistics)？</w:t>
      </w:r>
      <w:r>
        <w:rPr>
          <w:rFonts w:ascii="微軟正黑體" w:eastAsia="微軟正黑體" w:hAnsi="微軟正黑體"/>
          <w:color w:val="000000"/>
          <w:sz w:val="21"/>
        </w:rPr>
        <w:br/>
        <w:t>在生物統計與醫學研究中，母數檢定 (如獨立雙樣本 t 檢定、One-way ANOVA) 依賴三大嚴格假設：(1) 常態分佈 (Normality)、(2) 變異數同質性 (Homoscedasticity)、(3) 樣本獨立性。</w:t>
      </w:r>
      <w:r>
        <w:rPr>
          <w:rFonts w:ascii="微軟正黑體" w:eastAsia="微軟正黑體" w:hAnsi="微軟正黑體"/>
          <w:color w:val="000000"/>
          <w:sz w:val="21"/>
          <w:lang w:eastAsia="zh-TW"/>
        </w:rPr>
        <w:t>當遇到以下情境時，非母數檢定為必然選擇：</w:t>
      </w:r>
      <w:r>
        <w:rPr>
          <w:rFonts w:ascii="微軟正黑體" w:eastAsia="微軟正黑體" w:hAnsi="微軟正黑體"/>
          <w:color w:val="000000"/>
          <w:sz w:val="21"/>
          <w:lang w:eastAsia="zh-TW"/>
        </w:rPr>
        <w:br/>
        <w:t>1. 樣本數過小 (n &lt; 30) 且常態性檢定 (Shapiro-Wilk) 達顯著違背常態 (p &lt; 0.05)，如本報告之 LUAD 組 HER2 表現量、WNBA/MLB 年薪。</w:t>
      </w:r>
      <w:r>
        <w:rPr>
          <w:rFonts w:ascii="微軟正黑體" w:eastAsia="微軟正黑體" w:hAnsi="微軟正黑體"/>
          <w:color w:val="000000"/>
          <w:sz w:val="21"/>
          <w:lang w:eastAsia="zh-TW"/>
        </w:rPr>
        <w:br/>
      </w:r>
      <w:r>
        <w:rPr>
          <w:rFonts w:ascii="微軟正黑體" w:eastAsia="微軟正黑體" w:hAnsi="微軟正黑體"/>
          <w:color w:val="000000"/>
          <w:sz w:val="21"/>
        </w:rPr>
        <w:t>2. 變異數嚴重不均齊 (Levene's test p &lt; 0.05)，極端值對平均值與變異數造成過度扭曲。</w:t>
      </w:r>
      <w:r>
        <w:rPr>
          <w:rFonts w:ascii="微軟正黑體" w:eastAsia="微軟正黑體" w:hAnsi="微軟正黑體"/>
          <w:color w:val="000000"/>
          <w:sz w:val="21"/>
        </w:rPr>
        <w:br/>
        <w:t>3. 資料為等級資料 (Ordinal) 或具有明顯偏態分佈。</w:t>
      </w:r>
      <w:r>
        <w:rPr>
          <w:rFonts w:ascii="微軟正黑體" w:eastAsia="微軟正黑體" w:hAnsi="微軟正黑體"/>
          <w:color w:val="000000"/>
          <w:sz w:val="21"/>
        </w:rPr>
        <w:br/>
      </w:r>
      <w:r>
        <w:rPr>
          <w:rFonts w:ascii="微軟正黑體" w:eastAsia="微軟正黑體" w:hAnsi="微軟正黑體"/>
          <w:color w:val="000000"/>
          <w:sz w:val="21"/>
        </w:rPr>
        <w:br/>
        <w:t>4.2 曼-惠特尼 U 檢定 (Mann-Whitney U Test) 原理：</w:t>
      </w:r>
      <w:r>
        <w:rPr>
          <w:rFonts w:ascii="微軟正黑體" w:eastAsia="微軟正黑體" w:hAnsi="微軟正黑體"/>
          <w:color w:val="000000"/>
          <w:sz w:val="21"/>
        </w:rPr>
        <w:br/>
        <w:t>• 適用於兩組獨立樣本。</w:t>
      </w:r>
      <w:r>
        <w:rPr>
          <w:rFonts w:ascii="微軟正黑體" w:eastAsia="微軟正黑體" w:hAnsi="微軟正黑體"/>
          <w:color w:val="000000"/>
          <w:sz w:val="21"/>
          <w:lang w:eastAsia="zh-TW"/>
        </w:rPr>
        <w:t>將所有樣本合併由小到大排序並賦予秩次 (Rank, 遇同分取平均秩次)，再分別加總兩組秩次得到 R₁ 與 R₂。</w:t>
      </w:r>
      <w:r>
        <w:rPr>
          <w:rFonts w:ascii="微軟正黑體" w:eastAsia="微軟正黑體" w:hAnsi="微軟正黑體"/>
          <w:color w:val="000000"/>
          <w:sz w:val="21"/>
          <w:lang w:eastAsia="zh-TW"/>
        </w:rPr>
        <w:br/>
        <w:t>• 計算公式：U₁ = R₁ - n₁(n₁+1)/2，U₂ = R₂ - n₂(n₂+1)/2。檢定統計量 U 滿足 U₁ + U₂ = n₁n₂。</w:t>
      </w:r>
      <w:r>
        <w:rPr>
          <w:rFonts w:ascii="微軟正黑體" w:eastAsia="微軟正黑體" w:hAnsi="微軟正黑體"/>
          <w:color w:val="000000"/>
          <w:sz w:val="21"/>
          <w:lang w:eastAsia="zh-TW"/>
        </w:rPr>
        <w:br/>
      </w:r>
      <w:r>
        <w:rPr>
          <w:rFonts w:ascii="微軟正黑體" w:eastAsia="微軟正黑體" w:hAnsi="微軟正黑體"/>
          <w:color w:val="000000"/>
          <w:sz w:val="21"/>
        </w:rPr>
        <w:t>• SPSS 報告規範：SPSS 輸出之 Mann-Whitney U 通常報告 Min(U₁, U₂)，Wilcoxon W 報告較小樣本組之秩和。研究者可報告 U、Z 值與對應 p 值。</w:t>
      </w:r>
      <w:r>
        <w:rPr>
          <w:rFonts w:ascii="微軟正黑體" w:eastAsia="微軟正黑體" w:hAnsi="微軟正黑體"/>
          <w:color w:val="000000"/>
          <w:sz w:val="21"/>
        </w:rPr>
        <w:br/>
      </w:r>
      <w:r>
        <w:rPr>
          <w:rFonts w:ascii="微軟正黑體" w:eastAsia="微軟正黑體" w:hAnsi="微軟正黑體"/>
          <w:color w:val="000000"/>
          <w:sz w:val="21"/>
        </w:rPr>
        <w:br/>
      </w:r>
      <w:r>
        <w:rPr>
          <w:rFonts w:ascii="微軟正黑體" w:eastAsia="微軟正黑體" w:hAnsi="微軟正黑體"/>
          <w:color w:val="000000"/>
          <w:sz w:val="21"/>
          <w:lang w:eastAsia="zh-TW"/>
        </w:rPr>
        <w:t>4.3 克魯斯卡-沃利斯 H 檢定 (Kruskal-Wallis H Test) 原理：</w:t>
      </w:r>
      <w:r>
        <w:rPr>
          <w:rFonts w:ascii="微軟正黑體" w:eastAsia="微軟正黑體" w:hAnsi="微軟正黑體"/>
          <w:color w:val="000000"/>
          <w:sz w:val="21"/>
          <w:lang w:eastAsia="zh-TW"/>
        </w:rPr>
        <w:br/>
        <w:t>• 適用於三組或以上獨立樣本 (單因子變異數分析之非母數替代法)。將全部 N 個觀察值混合排序編秩，計算各組平均秩次。</w:t>
      </w:r>
      <w:r>
        <w:rPr>
          <w:rFonts w:ascii="微軟正黑體" w:eastAsia="微軟正黑體" w:hAnsi="微軟正黑體"/>
          <w:color w:val="000000"/>
          <w:sz w:val="21"/>
          <w:lang w:eastAsia="zh-TW"/>
        </w:rPr>
        <w:br/>
      </w:r>
      <w:r>
        <w:rPr>
          <w:rFonts w:ascii="微軟正黑體" w:eastAsia="微軟正黑體" w:hAnsi="微軟正黑體"/>
          <w:color w:val="000000"/>
          <w:sz w:val="21"/>
        </w:rPr>
        <w:t>• 統計量 H 近似於自由度為 k-1 之卡方 (Chi-square) 分佈。若 H 檢定達顯著水準 (p &lt; 0.05)，僅代表「至少有兩組之間存在差異」，必須進一步執行 Dunn's 事後檢定並搭配 Bonferroni 或 Holm 多重比較校正，以避免第一型錯誤 (Type I Error) 膨脹。</w:t>
      </w:r>
      <w:r>
        <w:rPr>
          <w:rFonts w:ascii="微軟正黑體" w:eastAsia="微軟正黑體" w:hAnsi="微軟正黑體"/>
          <w:color w:val="000000"/>
          <w:sz w:val="21"/>
        </w:rPr>
        <w:br/>
      </w:r>
      <w:r>
        <w:rPr>
          <w:rFonts w:ascii="微軟正黑體" w:eastAsia="微軟正黑體" w:hAnsi="微軟正黑體"/>
          <w:color w:val="000000"/>
          <w:sz w:val="21"/>
        </w:rPr>
        <w:br/>
        <w:t>4.4 SPSS 實務操作步驟指引：</w:t>
      </w:r>
      <w:r>
        <w:rPr>
          <w:rFonts w:ascii="微軟正黑體" w:eastAsia="微軟正黑體" w:hAnsi="微軟正黑體"/>
          <w:color w:val="000000"/>
          <w:sz w:val="21"/>
        </w:rPr>
        <w:br/>
        <w:t>• Mann-Whitney U 檢定操作：</w:t>
      </w:r>
      <w:r>
        <w:rPr>
          <w:rFonts w:ascii="微軟正黑體" w:eastAsia="微軟正黑體" w:hAnsi="微軟正黑體"/>
          <w:color w:val="000000"/>
          <w:sz w:val="21"/>
        </w:rPr>
        <w:br/>
        <w:t xml:space="preserve">  分析 (Analyze) -&gt; 無母數檢定 (Nonparametric Tests) -&gt; 舊式對話框 (Legacy Dialogs) -&gt; 2 個獨立</w:t>
      </w:r>
      <w:r>
        <w:rPr>
          <w:rFonts w:ascii="微軟正黑體" w:eastAsia="微軟正黑體" w:hAnsi="微軟正黑體"/>
          <w:color w:val="000000"/>
          <w:sz w:val="21"/>
        </w:rPr>
        <w:lastRenderedPageBreak/>
        <w:t>樣本 (2 Independent Samples) -&gt; 檢定變數放入應變數，分組變數放入分組代碼 (定義群組 1, 2) -&gt; 勾選 Mann-Whitney U。</w:t>
      </w:r>
      <w:r>
        <w:rPr>
          <w:rFonts w:ascii="微軟正黑體" w:eastAsia="微軟正黑體" w:hAnsi="微軟正黑體"/>
          <w:color w:val="000000"/>
          <w:sz w:val="21"/>
        </w:rPr>
        <w:br/>
        <w:t>• Kruskal-Wallis 檢定操作：</w:t>
      </w:r>
      <w:r>
        <w:rPr>
          <w:rFonts w:ascii="微軟正黑體" w:eastAsia="微軟正黑體" w:hAnsi="微軟正黑體"/>
          <w:color w:val="000000"/>
          <w:sz w:val="21"/>
        </w:rPr>
        <w:br/>
        <w:t xml:space="preserve">  分析 (Analyze) -&gt; 無母數檢定 (Nonparametric Tests) -&gt; 舊式對話框 (Legacy Dialogs) -&gt; K 個獨立樣本 (K Independent Samples) -&gt; 檢定變數放入應變數，分組變數放入分組欄位 (定義範圍 1 到 k) -&gt; 勾選 Kruskal-Wallis H。</w:t>
      </w:r>
    </w:p>
    <w:p w14:paraId="457B7F6D" w14:textId="77777777" w:rsidR="00814344" w:rsidRDefault="00814344">
      <w:pPr>
        <w:spacing w:line="312" w:lineRule="auto"/>
        <w:rPr>
          <w:rFonts w:ascii="微軟正黑體" w:eastAsia="微軟正黑體" w:hAnsi="微軟正黑體"/>
          <w:color w:val="000000"/>
          <w:sz w:val="21"/>
          <w:lang w:eastAsia="zh-TW"/>
        </w:rPr>
      </w:pPr>
    </w:p>
    <w:p w14:paraId="4814A5B5" w14:textId="77777777" w:rsidR="00814344" w:rsidRDefault="00814344">
      <w:pPr>
        <w:spacing w:line="312" w:lineRule="auto"/>
        <w:rPr>
          <w:rFonts w:ascii="微軟正黑體" w:eastAsia="微軟正黑體" w:hAnsi="微軟正黑體"/>
          <w:color w:val="000000"/>
          <w:sz w:val="21"/>
          <w:lang w:eastAsia="zh-TW"/>
        </w:rPr>
      </w:pPr>
    </w:p>
    <w:p w14:paraId="5BB097D8" w14:textId="77777777" w:rsidR="00814344" w:rsidRDefault="00814344">
      <w:pPr>
        <w:spacing w:line="312" w:lineRule="auto"/>
        <w:rPr>
          <w:rFonts w:ascii="微軟正黑體" w:eastAsia="微軟正黑體" w:hAnsi="微軟正黑體"/>
          <w:color w:val="000000"/>
          <w:sz w:val="21"/>
          <w:lang w:eastAsia="zh-TW"/>
        </w:rPr>
      </w:pPr>
    </w:p>
    <w:p w14:paraId="36427785" w14:textId="77777777" w:rsidR="00814344" w:rsidRDefault="00814344">
      <w:pPr>
        <w:spacing w:line="312" w:lineRule="auto"/>
        <w:rPr>
          <w:rFonts w:ascii="微軟正黑體" w:eastAsia="微軟正黑體" w:hAnsi="微軟正黑體"/>
          <w:color w:val="000000"/>
          <w:sz w:val="21"/>
          <w:lang w:eastAsia="zh-TW"/>
        </w:rPr>
      </w:pPr>
    </w:p>
    <w:p w14:paraId="474E975E" w14:textId="77777777" w:rsidR="00814344" w:rsidRDefault="00814344">
      <w:pPr>
        <w:spacing w:line="312" w:lineRule="auto"/>
        <w:rPr>
          <w:rFonts w:ascii="微軟正黑體" w:eastAsia="微軟正黑體" w:hAnsi="微軟正黑體"/>
          <w:color w:val="000000"/>
          <w:sz w:val="21"/>
          <w:lang w:eastAsia="zh-TW"/>
        </w:rPr>
      </w:pPr>
    </w:p>
    <w:p w14:paraId="19F26623" w14:textId="77777777" w:rsidR="00814344" w:rsidRDefault="00814344">
      <w:pPr>
        <w:spacing w:line="312" w:lineRule="auto"/>
        <w:rPr>
          <w:rFonts w:ascii="微軟正黑體" w:eastAsia="微軟正黑體" w:hAnsi="微軟正黑體"/>
          <w:color w:val="000000"/>
          <w:sz w:val="21"/>
          <w:lang w:eastAsia="zh-TW"/>
        </w:rPr>
      </w:pPr>
    </w:p>
    <w:p w14:paraId="48C65056" w14:textId="77777777" w:rsidR="00814344" w:rsidRDefault="00814344">
      <w:pPr>
        <w:spacing w:line="312" w:lineRule="auto"/>
        <w:rPr>
          <w:rFonts w:ascii="微軟正黑體" w:eastAsia="微軟正黑體" w:hAnsi="微軟正黑體"/>
          <w:color w:val="000000"/>
          <w:sz w:val="21"/>
          <w:lang w:eastAsia="zh-TW"/>
        </w:rPr>
      </w:pPr>
    </w:p>
    <w:p w14:paraId="0192E96A" w14:textId="7C1130CA" w:rsidR="006010FC" w:rsidRDefault="006010FC">
      <w:pPr>
        <w:spacing w:line="312" w:lineRule="auto"/>
        <w:rPr>
          <w:rFonts w:eastAsia="新細明體"/>
          <w:lang w:eastAsia="zh-TW"/>
        </w:rPr>
      </w:pPr>
      <w:r w:rsidRPr="006D4123">
        <w:rPr>
          <w:noProof/>
        </w:rPr>
        <w:lastRenderedPageBreak/>
        <w:drawing>
          <wp:inline distT="0" distB="0" distL="0" distR="0" wp14:anchorId="3A89B8CF" wp14:editId="6C96E864">
            <wp:extent cx="5943600" cy="3492891"/>
            <wp:effectExtent l="0" t="0" r="0" b="0"/>
            <wp:docPr id="48175991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2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FA2ED" w14:textId="6FFA0EF3" w:rsidR="006010FC" w:rsidRDefault="006010FC">
      <w:pPr>
        <w:spacing w:line="312" w:lineRule="auto"/>
        <w:rPr>
          <w:rFonts w:eastAsia="新細明體"/>
          <w:lang w:eastAsia="zh-TW"/>
        </w:rPr>
      </w:pPr>
      <w:r w:rsidRPr="006D4123">
        <w:rPr>
          <w:noProof/>
        </w:rPr>
        <w:drawing>
          <wp:inline distT="0" distB="0" distL="0" distR="0" wp14:anchorId="671C6A9A" wp14:editId="55EE665C">
            <wp:extent cx="5943600" cy="3492891"/>
            <wp:effectExtent l="0" t="0" r="0" b="0"/>
            <wp:docPr id="191754061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2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7D0F6" w14:textId="76D27E0E" w:rsidR="0083347A" w:rsidRPr="006010FC" w:rsidRDefault="0083347A">
      <w:pPr>
        <w:spacing w:line="312" w:lineRule="auto"/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>Antigravity</w:t>
      </w:r>
      <w:r>
        <w:rPr>
          <w:rFonts w:eastAsia="新細明體" w:hint="eastAsia"/>
          <w:lang w:eastAsia="zh-TW"/>
        </w:rPr>
        <w:t>所用的分析方法和</w:t>
      </w:r>
      <w:r w:rsidR="00F94A98">
        <w:rPr>
          <w:rFonts w:eastAsia="新細明體" w:hint="eastAsia"/>
          <w:lang w:eastAsia="zh-TW"/>
        </w:rPr>
        <w:t>課堂中所使用的相同</w:t>
      </w:r>
      <w:r w:rsidR="00AA37F5">
        <w:rPr>
          <w:rFonts w:eastAsia="新細明體" w:hint="eastAsia"/>
          <w:lang w:eastAsia="zh-TW"/>
        </w:rPr>
        <w:t>，可見</w:t>
      </w:r>
      <w:r w:rsidR="00AA37F5">
        <w:rPr>
          <w:rFonts w:eastAsia="新細明體" w:hint="eastAsia"/>
          <w:lang w:eastAsia="zh-TW"/>
        </w:rPr>
        <w:t>AI</w:t>
      </w:r>
      <w:r w:rsidR="00AA37F5">
        <w:rPr>
          <w:rFonts w:eastAsia="新細明體" w:hint="eastAsia"/>
          <w:lang w:eastAsia="zh-TW"/>
        </w:rPr>
        <w:t>是個非常好的分析工具！</w:t>
      </w:r>
    </w:p>
    <w:sectPr w:rsidR="0083347A" w:rsidRPr="006010F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3FC5D" w14:textId="77777777" w:rsidR="00E70ED8" w:rsidRDefault="00E70ED8" w:rsidP="006010FC">
      <w:pPr>
        <w:spacing w:after="0" w:line="240" w:lineRule="auto"/>
      </w:pPr>
      <w:r>
        <w:separator/>
      </w:r>
    </w:p>
  </w:endnote>
  <w:endnote w:type="continuationSeparator" w:id="0">
    <w:p w14:paraId="76509A2C" w14:textId="77777777" w:rsidR="00E70ED8" w:rsidRDefault="00E70ED8" w:rsidP="00601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2DD4D" w14:textId="77777777" w:rsidR="00E70ED8" w:rsidRDefault="00E70ED8" w:rsidP="006010FC">
      <w:pPr>
        <w:spacing w:after="0" w:line="240" w:lineRule="auto"/>
      </w:pPr>
      <w:r>
        <w:separator/>
      </w:r>
    </w:p>
  </w:footnote>
  <w:footnote w:type="continuationSeparator" w:id="0">
    <w:p w14:paraId="00510E81" w14:textId="77777777" w:rsidR="00E70ED8" w:rsidRDefault="00E70ED8" w:rsidP="006010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233908">
    <w:abstractNumId w:val="8"/>
  </w:num>
  <w:num w:numId="2" w16cid:durableId="248122394">
    <w:abstractNumId w:val="6"/>
  </w:num>
  <w:num w:numId="3" w16cid:durableId="1971591710">
    <w:abstractNumId w:val="5"/>
  </w:num>
  <w:num w:numId="4" w16cid:durableId="1147359292">
    <w:abstractNumId w:val="4"/>
  </w:num>
  <w:num w:numId="5" w16cid:durableId="646125242">
    <w:abstractNumId w:val="7"/>
  </w:num>
  <w:num w:numId="6" w16cid:durableId="2048483073">
    <w:abstractNumId w:val="3"/>
  </w:num>
  <w:num w:numId="7" w16cid:durableId="492184289">
    <w:abstractNumId w:val="2"/>
  </w:num>
  <w:num w:numId="8" w16cid:durableId="561135659">
    <w:abstractNumId w:val="1"/>
  </w:num>
  <w:num w:numId="9" w16cid:durableId="898981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542"/>
    <w:rsid w:val="00326F90"/>
    <w:rsid w:val="006010FC"/>
    <w:rsid w:val="00686765"/>
    <w:rsid w:val="00814344"/>
    <w:rsid w:val="0083347A"/>
    <w:rsid w:val="00AA1D8D"/>
    <w:rsid w:val="00AA37F5"/>
    <w:rsid w:val="00B47730"/>
    <w:rsid w:val="00CB0664"/>
    <w:rsid w:val="00E70ED8"/>
    <w:rsid w:val="00ED0FD8"/>
    <w:rsid w:val="00F94A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BEEBC13B-226A-4C42-9D42-44567AEB7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1067</Words>
  <Characters>6085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子恩 蘇</cp:lastModifiedBy>
  <cp:revision>6</cp:revision>
  <dcterms:created xsi:type="dcterms:W3CDTF">2013-12-23T23:15:00Z</dcterms:created>
  <dcterms:modified xsi:type="dcterms:W3CDTF">2026-10-15T08:11:00Z</dcterms:modified>
  <cp:category/>
</cp:coreProperties>
</file>