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verify the system is clean: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Reboot System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full AV/EDR scan after isolating endpoint — confirm svcboost.exe and all associated files are removed.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all startup locations: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HKLM\...\CurrentVersion\Run (registry)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HKCU\...\CurrentVersion\Run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C:\Users\Alex\AppData\Roaming\ (dropper location)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Task Scheduler for hidden tasks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Run netstat -ano to confirm no active connection to 185.130.5.253 or any other unknown  external IP.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Verify PowerShell execution logs (Event ID 4104) for any remaining encoded commands not yet executed.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If any doubt remains — reimage the machine entirely. A compromised machine with ransomware should always be reimaged rather than cleaned in place.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Where to restore files from: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Restore encrypted .docx and .xlsx files from the most recent clean backup prior to 2025-04-19 14:23 UTC.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Backup sources in order of preference: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Cloud backup (OneDrive/SharePoint) — check version history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Offline/air-gapped backup server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Shadow copies (if not deleted by ransomware):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vssadmin list shadows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NOT pay the ransom. Payment does not guarantee decryption and funds future attacks.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Lesson to teach the employee Alex: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Never enable macros in Word or Excel documents received via email, even if the document appears to come from a known sender. Legitimate business documents do not require macros to be enabled. If in doubt — contact IT before opening. One click can compromise the entire company.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