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Tool used: Task Manager – Startup Apps (Windows)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Startup Items List (Enabled):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Name  </w:t>
      </w: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ASUSSmartDisplayControl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IDMan.exe                  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jusched.exe                                    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Riot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SecurityHealthSystray.exe 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         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Update.vbs                          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vmware-tray.exe                      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SecurityHealthSystray.exe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Legitimate Entry: </w:t>
      </w:r>
      <w:r w:rsidDel="00000000" w:rsidR="00000000" w:rsidRPr="00000000">
        <w:rPr>
          <w:rtl w:val="0"/>
        </w:rPr>
        <w:t xml:space="preserve">SecurityHealthSystray.exe - Windows security health tray icon used for notification of antivirus and firewall.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Suspicious/Unnecessary Entry: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Update.vbs – A VBScript (.vbs) file in the startup list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with no publisher listed and impact "Not measured" is 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significant red flag. VBScript is commonly used by malware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and adware to execute payloads at boot. Legitimate software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rarely uses .vbs files as startup entries.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Flag: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"Program" – An entry named simply "Program" with no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publisher and not measured impact. This often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indicates a broken or incomplete registry startup entry,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or a renamed malicious executable.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