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tbl>
      <w:tblPr>
        <w:tblW w:w="144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0"/>
      </w:tblGrid>
      <w:tr>
        <w:tc>
          <w:tcPr>
            <w:tcW w:w="14400" w:type="dxa"/>
            <w:shd w:val="clear" w:color="auto" w:fill="548235"/>
            <w:tcMar>
              <w:top w:w="60" w:type="dxa"/>
              <w:left w:w="100" w:type="dxa"/>
              <w:bottom w:w="60" w:type="dxa"/>
              <w:right w:w="100" w:type="dxa"/>
            </w:tcMar>
          </w:tcPr>
          <w:p>
            <w:pPr>
              <w:jc w:val="center"/>
              <w:spacing w:before="40" w:after="40"/>
            </w:pPr>
            <w:r>
              <w:rPr>
                <w:rFonts w:ascii="Arial Narrow" w:hAnsi="Arial Narrow" w:cs="Arial Narrow" w:eastAsia="Arial Narrow"/>
                <w:sz w:val="24"/>
                <w:szCs w:val="24"/>
                <w:b/>
                <w:bCs/>
              </w:rPr>
              <w:t xml:space="preserve">Review of Related Literature (RRL/s)</w:t>
            </w:r>
          </w:p>
        </w:tc>
      </w:tr>
      <w:tr>
        <w:tc>
          <w:tcPr>
            <w:tcW w:w="14400" w:type="dxa"/>
            <w:shd w:val="clear" w:color="auto" w:fill="C6E0B4"/>
            <w:tcMar>
              <w:top w:w="60" w:type="dxa"/>
              <w:left w:w="100" w:type="dxa"/>
              <w:bottom w:w="60" w:type="dxa"/>
              <w:right w:w="100" w:type="dxa"/>
            </w:tcMar>
          </w:tcPr>
          <w:p>
            <w:pPr>
              <w:jc w:val="center"/>
              <w:spacing w:before="40" w:after="40"/>
            </w:pPr>
            <w:r>
              <w:rPr>
                <w:rFonts w:ascii="Arial Narrow" w:hAnsi="Arial Narrow" w:cs="Arial Narrow" w:eastAsia="Arial Narrow"/>
                <w:sz w:val="24"/>
                <w:szCs w:val="24"/>
                <w:b/>
                <w:bCs/>
              </w:rPr>
              <w:t xml:space="preserve">Local Literature</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1. </w:t>
            </w:r>
            <w:r>
              <w:rPr>
                <w:rFonts w:ascii="Arial Narrow" w:hAnsi="Arial Narrow" w:cs="Arial Narrow" w:eastAsia="Arial Narrow"/>
                <w:sz w:val="22"/>
                <w:szCs w:val="22"/>
                <w:b/>
                <w:bCs/>
              </w:rPr>
              <w:t xml:space="preserve">Off-Grid Electrification Using Renewable Energy in the Philippines: A Comprehensive Review</w:t>
            </w:r>
          </w:p>
          <w:p>
            <w:pPr>
              <w:spacing w:before="0" w:after="0"/>
            </w:pPr>
            <w:r>
              <w:rPr>
                <w:rFonts w:ascii="Arial Narrow" w:hAnsi="Arial Narrow" w:cs="Arial Narrow" w:eastAsia="Arial Narrow"/>
                <w:sz w:val="22"/>
                <w:szCs w:val="22"/>
              </w:rPr>
              <w:t xml:space="preserve">(2024). Arizeo C. Salac; Jairus Dameanne C. Somera; Michael Tan Castro; Maricor Divinagracia-Luzadas; Louis Angelo M. Danao; Joey Duran Ocon.</w:t>
            </w:r>
          </w:p>
          <w:p>
            <w:pPr>
              <w:spacing w:before="0" w:after="0"/>
            </w:pPr>
            <w:hyperlink r:id="rId1">
              <w:r>
                <w:rPr>
                  <w:rFonts w:ascii="Arial Narrow" w:hAnsi="Arial Narrow" w:cs="Arial Narrow" w:eastAsia="Arial Narrow"/>
                  <w:sz w:val="22"/>
                  <w:szCs w:val="22"/>
                  <w:color w:val="0563C1"/>
                  <w:u w:val="single"/>
                </w:rPr>
                <w:t xml:space="preserve">https://doi.org/10.3390/smartcities7030043</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Many electrified Philippine off-grid areas still depend on diesel power plants, and supply is often limited to a few hours a day. A review of studies from 2012 to 2023 finds crowded technical and economic work on hybrid renewable systems, while environmental and socio-political factors are thinner and rarely tied to the technical papers. This thesis uses that diesel-dependent off-grid baseline as context for studying efficiency anomalies at Palawan NPC-SPUG plants.</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2. </w:t>
            </w:r>
            <w:r>
              <w:rPr>
                <w:rFonts w:ascii="Arial Narrow" w:hAnsi="Arial Narrow" w:cs="Arial Narrow" w:eastAsia="Arial Narrow"/>
                <w:sz w:val="22"/>
                <w:szCs w:val="22"/>
                <w:b/>
                <w:bCs/>
              </w:rPr>
              <w:t xml:space="preserve">A Backcasting Analysis toward a 100% Renewable Energy Transition by 2040 for Off-Grid Islands</w:t>
            </w:r>
          </w:p>
          <w:p>
            <w:pPr>
              <w:spacing w:before="0" w:after="0"/>
            </w:pPr>
            <w:r>
              <w:rPr>
                <w:rFonts w:ascii="Arial Narrow" w:hAnsi="Arial Narrow" w:cs="Arial Narrow" w:eastAsia="Arial Narrow"/>
                <w:sz w:val="22"/>
                <w:szCs w:val="22"/>
              </w:rPr>
              <w:t xml:space="preserve">(2022). Khrisydel Rhea M. Supapo; Lorafe Lozano; Ian Dominic F. Tabañag; Edward M. Querikiol.</w:t>
            </w:r>
          </w:p>
          <w:p>
            <w:pPr>
              <w:spacing w:before="0" w:after="0"/>
            </w:pPr>
            <w:hyperlink r:id="rId2">
              <w:r>
                <w:rPr>
                  <w:rFonts w:ascii="Arial Narrow" w:hAnsi="Arial Narrow" w:cs="Arial Narrow" w:eastAsia="Arial Narrow"/>
                  <w:sz w:val="22"/>
                  <w:szCs w:val="22"/>
                  <w:color w:val="0563C1"/>
                  <w:u w:val="single"/>
                </w:rPr>
                <w:t xml:space="preserve">https://doi.org/10.3390/en15134794</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The study models diesel and hybrid pathways for three Palawan off-grid municipalities—Araceli, Balabac, and Cuyo—using load demand, generator operating hours, and techno-economic scenarios from business-as-usual diesel toward higher renewable shares. It fills the NPC-SPUG / Palawan diesel-operation literature slot by documenting how those island diesel plants run today and how load and operating hours frame efficiency monitoring.</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3. </w:t>
            </w:r>
            <w:r>
              <w:rPr>
                <w:rFonts w:ascii="Arial Narrow" w:hAnsi="Arial Narrow" w:cs="Arial Narrow" w:eastAsia="Arial Narrow"/>
                <w:sz w:val="22"/>
                <w:szCs w:val="22"/>
                <w:b/>
                <w:bCs/>
              </w:rPr>
              <w:t xml:space="preserve">Supplying not electrified islands with 100% renewable energy based micro grids: A geospatial and techno-economic analysis for the Philippines</w:t>
            </w:r>
          </w:p>
          <w:p>
            <w:pPr>
              <w:spacing w:before="0" w:after="0"/>
            </w:pPr>
            <w:r>
              <w:rPr>
                <w:rFonts w:ascii="Arial Narrow" w:hAnsi="Arial Narrow" w:cs="Arial Narrow" w:eastAsia="Arial Narrow"/>
                <w:sz w:val="22"/>
                <w:szCs w:val="22"/>
              </w:rPr>
              <w:t xml:space="preserve">(2020). Paul Bertheau.</w:t>
            </w:r>
          </w:p>
          <w:p>
            <w:pPr>
              <w:spacing w:before="0" w:after="0"/>
            </w:pPr>
            <w:hyperlink r:id="rId3">
              <w:r>
                <w:rPr>
                  <w:rFonts w:ascii="Arial Narrow" w:hAnsi="Arial Narrow" w:cs="Arial Narrow" w:eastAsia="Arial Narrow"/>
                  <w:sz w:val="22"/>
                  <w:szCs w:val="22"/>
                  <w:color w:val="0563C1"/>
                  <w:u w:val="single"/>
                </w:rPr>
                <w:t xml:space="preserve">https://doi.org/10.1016/j.energy.2020.117670</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Across Philippine small-island grids, the paper reports diesel fuel efficiencies from about 0.26 to 0.83 L/kWh and site-specific diesel prices, then sizes 100% renewable microgrids against that diesel baseline. Those fuel-use figures support this thesis’s focus on diesel-genset efficiency anomalies rather than only on hybridization cost.</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4. </w:t>
            </w:r>
            <w:r>
              <w:rPr>
                <w:rFonts w:ascii="Arial Narrow" w:hAnsi="Arial Narrow" w:cs="Arial Narrow" w:eastAsia="Arial Narrow"/>
                <w:sz w:val="22"/>
                <w:szCs w:val="22"/>
                <w:b/>
                <w:bCs/>
              </w:rPr>
              <w:t xml:space="preserve">NPC Missionary Electrification Plan 2025–2029</w:t>
            </w:r>
          </w:p>
          <w:p>
            <w:pPr>
              <w:spacing w:before="0" w:after="0"/>
            </w:pPr>
            <w:r>
              <w:rPr>
                <w:rFonts w:ascii="Arial Narrow" w:hAnsi="Arial Narrow" w:cs="Arial Narrow" w:eastAsia="Arial Narrow"/>
                <w:sz w:val="22"/>
                <w:szCs w:val="22"/>
              </w:rPr>
              <w:t xml:space="preserve">(2025). National Power Corporation. Report.</w:t>
            </w:r>
          </w:p>
          <w:p>
            <w:pPr>
              <w:spacing w:before="0" w:after="0"/>
            </w:pPr>
            <w:hyperlink r:id="rId4">
              <w:r>
                <w:rPr>
                  <w:rFonts w:ascii="Arial Narrow" w:hAnsi="Arial Narrow" w:cs="Arial Narrow" w:eastAsia="Arial Narrow"/>
                  <w:sz w:val="22"/>
                  <w:szCs w:val="22"/>
                  <w:color w:val="0563C1"/>
                  <w:u w:val="single"/>
                </w:rPr>
                <w:t xml:space="preserve">https://www.napocor.gov.ph/wp-content/uploads/Operations/NPC_Missionary_Electrification_Plan_2025-2029.pdf</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This National Power Corporation plan describes missionary/off-grid supply strategy, NPC-SPUG area coverage, and diesel-based operations that remain central where new power providers are not yet in place. It situates Palawan NPC-SPUG diesel plants inside the official missionary-electrification operating frame this thesis studies.</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5. </w:t>
            </w:r>
            <w:r>
              <w:rPr>
                <w:rFonts w:ascii="Arial Narrow" w:hAnsi="Arial Narrow" w:cs="Arial Narrow" w:eastAsia="Arial Narrow"/>
                <w:sz w:val="22"/>
                <w:szCs w:val="22"/>
                <w:b/>
                <w:bCs/>
              </w:rPr>
              <w:t xml:space="preserve">Electricity Supply Interruptions in the Philippines: Characteristics, Trends, Causes</w:t>
            </w:r>
          </w:p>
          <w:p>
            <w:pPr>
              <w:spacing w:before="0" w:after="0"/>
            </w:pPr>
            <w:r>
              <w:rPr>
                <w:rFonts w:ascii="Arial Narrow" w:hAnsi="Arial Narrow" w:cs="Arial Narrow" w:eastAsia="Arial Narrow"/>
                <w:sz w:val="22"/>
                <w:szCs w:val="22"/>
              </w:rPr>
              <w:t xml:space="preserve">(2022). Kris A. Francisco. Report (PIDS Discussion Paper).</w:t>
            </w:r>
          </w:p>
          <w:p>
            <w:pPr>
              <w:spacing w:before="0" w:after="0"/>
            </w:pPr>
            <w:hyperlink r:id="rId5">
              <w:r>
                <w:rPr>
                  <w:rFonts w:ascii="Arial Narrow" w:hAnsi="Arial Narrow" w:cs="Arial Narrow" w:eastAsia="Arial Narrow"/>
                  <w:sz w:val="22"/>
                  <w:szCs w:val="22"/>
                  <w:color w:val="0563C1"/>
                  <w:u w:val="single"/>
                </w:rPr>
                <w:t xml:space="preserve">https://doi.org/10.62986/dp2022.48</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Using electric-cooperative Monthly Interruption Reports to NEA, the paper quantifies interruption frequency and duration and groups causes into environment, supply, technical, and other classes for 2015–2021. Those outage and technical-failure patterns motivate linking diesel efficiency anomalies to fault- and interruption-linked behavior in Philippine off-grid plants.</w:t>
            </w:r>
          </w:p>
        </w:tc>
      </w:tr>
    </w:tbl>
    <w:p/>
    <w:tbl>
      <w:tblPr>
        <w:tblW w:w="144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0"/>
      </w:tblGrid>
      <w:tr>
        <w:tc>
          <w:tcPr>
            <w:tcW w:w="14400" w:type="dxa"/>
            <w:shd w:val="clear" w:color="auto" w:fill="548235"/>
            <w:tcMar>
              <w:top w:w="60" w:type="dxa"/>
              <w:left w:w="100" w:type="dxa"/>
              <w:bottom w:w="60" w:type="dxa"/>
              <w:right w:w="100" w:type="dxa"/>
            </w:tcMar>
          </w:tcPr>
          <w:p>
            <w:pPr>
              <w:jc w:val="center"/>
              <w:spacing w:before="40" w:after="40"/>
            </w:pPr>
            <w:r>
              <w:rPr>
                <w:rFonts w:ascii="Arial Narrow" w:hAnsi="Arial Narrow" w:cs="Arial Narrow" w:eastAsia="Arial Narrow"/>
                <w:sz w:val="24"/>
                <w:szCs w:val="24"/>
                <w:b/>
                <w:bCs/>
              </w:rPr>
              <w:t xml:space="preserve">Review of Related Literature (RRL/s)</w:t>
            </w:r>
          </w:p>
        </w:tc>
      </w:tr>
      <w:tr>
        <w:tc>
          <w:tcPr>
            <w:tcW w:w="14400" w:type="dxa"/>
            <w:shd w:val="clear" w:color="auto" w:fill="C6E0B4"/>
            <w:tcMar>
              <w:top w:w="60" w:type="dxa"/>
              <w:left w:w="100" w:type="dxa"/>
              <w:bottom w:w="60" w:type="dxa"/>
              <w:right w:w="100" w:type="dxa"/>
            </w:tcMar>
          </w:tcPr>
          <w:p>
            <w:pPr>
              <w:jc w:val="center"/>
              <w:spacing w:before="40" w:after="40"/>
            </w:pPr>
            <w:r>
              <w:rPr>
                <w:rFonts w:ascii="Arial Narrow" w:hAnsi="Arial Narrow" w:cs="Arial Narrow" w:eastAsia="Arial Narrow"/>
                <w:sz w:val="24"/>
                <w:szCs w:val="24"/>
                <w:b/>
                <w:bCs/>
              </w:rPr>
              <w:t xml:space="preserve">Foreign Literature</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6. </w:t>
            </w:r>
            <w:r>
              <w:rPr>
                <w:rFonts w:ascii="Arial Narrow" w:hAnsi="Arial Narrow" w:cs="Arial Narrow" w:eastAsia="Arial Narrow"/>
                <w:sz w:val="22"/>
                <w:szCs w:val="22"/>
                <w:b/>
                <w:bCs/>
              </w:rPr>
              <w:t xml:space="preserve">Fast RobustSTL: Efficient and Robust Seasonal-Trend Decomposition for Time Series with Complex Patterns</w:t>
            </w:r>
          </w:p>
          <w:p>
            <w:pPr>
              <w:spacing w:before="0" w:after="0"/>
            </w:pPr>
            <w:r>
              <w:rPr>
                <w:rFonts w:ascii="Arial Narrow" w:hAnsi="Arial Narrow" w:cs="Arial Narrow" w:eastAsia="Arial Narrow"/>
                <w:sz w:val="22"/>
                <w:szCs w:val="22"/>
              </w:rPr>
              <w:t xml:space="preserve">(2020). Qingsong Wen; Zhe Zhang; Li Yan; Liang Sun.</w:t>
            </w:r>
          </w:p>
          <w:p>
            <w:pPr>
              <w:spacing w:before="0" w:after="0"/>
            </w:pPr>
            <w:hyperlink r:id="rId6">
              <w:r>
                <w:rPr>
                  <w:rFonts w:ascii="Arial Narrow" w:hAnsi="Arial Narrow" w:cs="Arial Narrow" w:eastAsia="Arial Narrow"/>
                  <w:sz w:val="22"/>
                  <w:szCs w:val="22"/>
                  <w:color w:val="0563C1"/>
                  <w:u w:val="single"/>
                </w:rPr>
                <w:t xml:space="preserve">https://doi.org/10.1145/3394486.3403271</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The paper extends RobustSTL so seasonal-trend decomposition can handle more than one seasonal cycle and run faster, using a generalized ADMM method. It treats trend, seasonality, outliers, and noise as parts that should be separated before anomaly detection. This thesis adopts that RobustSTL-family decomposition as the seasonal-trend front end before generalized ESD testing on genset efficiency residuals.</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7. </w:t>
            </w:r>
            <w:r>
              <w:rPr>
                <w:rFonts w:ascii="Arial Narrow" w:hAnsi="Arial Narrow" w:cs="Arial Narrow" w:eastAsia="Arial Narrow"/>
                <w:sz w:val="22"/>
                <w:szCs w:val="22"/>
                <w:b/>
                <w:bCs/>
              </w:rPr>
              <w:t xml:space="preserve">Practice for Application of Generalized Extreme Studentized Deviate (GESD) Technique to Simultaneously Identify Multiple Outliers in a Data Set</w:t>
            </w:r>
          </w:p>
          <w:p>
            <w:pPr>
              <w:spacing w:before="0" w:after="0"/>
            </w:pPr>
            <w:r>
              <w:rPr>
                <w:rFonts w:ascii="Arial Narrow" w:hAnsi="Arial Narrow" w:cs="Arial Narrow" w:eastAsia="Arial Narrow"/>
                <w:sz w:val="22"/>
                <w:szCs w:val="22"/>
              </w:rPr>
              <w:t xml:space="preserve">(2022). ASTM D02 Committee.</w:t>
            </w:r>
          </w:p>
          <w:p>
            <w:pPr>
              <w:spacing w:before="0" w:after="0"/>
            </w:pPr>
            <w:hyperlink r:id="rId7">
              <w:r>
                <w:rPr>
                  <w:rFonts w:ascii="Arial Narrow" w:hAnsi="Arial Narrow" w:cs="Arial Narrow" w:eastAsia="Arial Narrow"/>
                  <w:sz w:val="22"/>
                  <w:szCs w:val="22"/>
                  <w:color w:val="0563C1"/>
                  <w:u w:val="single"/>
                </w:rPr>
                <w:t xml:space="preserve">https://doi.org/10.1520/d7915-22</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This standard states how to apply the generalized extreme Studentized deviate procedure to flag up to a preset number of outliers in one pass, without deciding beforehand where those outliers sit. It is the procedural reference for the generalized ESD step this thesis applies to RobustSTL residuals.</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8. </w:t>
            </w:r>
            <w:r>
              <w:rPr>
                <w:rFonts w:ascii="Arial Narrow" w:hAnsi="Arial Narrow" w:cs="Arial Narrow" w:eastAsia="Arial Narrow"/>
                <w:sz w:val="22"/>
                <w:szCs w:val="22"/>
                <w:b/>
                <w:bCs/>
              </w:rPr>
              <w:t xml:space="preserve">OneShotSTL: One-Shot Seasonal-Trend Decomposition For Online Time Series Anomaly Detection And Forecasting</w:t>
            </w:r>
          </w:p>
          <w:p>
            <w:pPr>
              <w:spacing w:before="0" w:after="0"/>
            </w:pPr>
            <w:r>
              <w:rPr>
                <w:rFonts w:ascii="Arial Narrow" w:hAnsi="Arial Narrow" w:cs="Arial Narrow" w:eastAsia="Arial Narrow"/>
                <w:sz w:val="22"/>
                <w:szCs w:val="22"/>
              </w:rPr>
              <w:t xml:space="preserve">(2023). Xiao He; Ye Li; Jian Rong Tan; Bin Wu; Feifei Li.</w:t>
            </w:r>
          </w:p>
          <w:p>
            <w:pPr>
              <w:spacing w:before="0" w:after="0"/>
            </w:pPr>
            <w:hyperlink r:id="rId8">
              <w:r>
                <w:rPr>
                  <w:rFonts w:ascii="Arial Narrow" w:hAnsi="Arial Narrow" w:cs="Arial Narrow" w:eastAsia="Arial Narrow"/>
                  <w:sz w:val="22"/>
                  <w:szCs w:val="22"/>
                  <w:color w:val="0563C1"/>
                  <w:u w:val="single"/>
                </w:rPr>
                <w:t xml:space="preserve">https://doi.org/10.14778/3583140.3583155</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The paper presents an online seasonal-trend decomposition whose update cost is constant time, for anomaly detection and forecasting. On benchmark series it is far faster than batch decomposition, with similar accuracy. It shows that STL-style remainder extraction remains a practical route to anomaly flags, which this thesis follows in a RobustSTL plus generalized ESD pipeline.</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9. </w:t>
            </w:r>
            <w:r>
              <w:rPr>
                <w:rFonts w:ascii="Arial Narrow" w:hAnsi="Arial Narrow" w:cs="Arial Narrow" w:eastAsia="Arial Narrow"/>
                <w:sz w:val="22"/>
                <w:szCs w:val="22"/>
                <w:b/>
                <w:bCs/>
              </w:rPr>
              <w:t xml:space="preserve">RobustTAD: Robust Time Series Anomaly Detection via Decomposition and Convolutional Neural Networks</w:t>
            </w:r>
          </w:p>
          <w:p>
            <w:pPr>
              <w:spacing w:before="0" w:after="0"/>
            </w:pPr>
            <w:r>
              <w:rPr>
                <w:rFonts w:ascii="Arial Narrow" w:hAnsi="Arial Narrow" w:cs="Arial Narrow" w:eastAsia="Arial Narrow"/>
                <w:sz w:val="22"/>
                <w:szCs w:val="22"/>
              </w:rPr>
              <w:t xml:space="preserve">(2020). Jingkun Gao; Xiaomin Song; Qingsong Wen; Pichao Wang; Liang Sun; Huan Xu.</w:t>
            </w:r>
          </w:p>
          <w:p>
            <w:pPr>
              <w:spacing w:before="0" w:after="0"/>
            </w:pPr>
            <w:hyperlink r:id="rId9">
              <w:r>
                <w:rPr>
                  <w:rFonts w:ascii="Arial Narrow" w:hAnsi="Arial Narrow" w:cs="Arial Narrow" w:eastAsia="Arial Narrow"/>
                  <w:sz w:val="22"/>
                  <w:szCs w:val="22"/>
                  <w:color w:val="0563C1"/>
                  <w:u w:val="single"/>
                </w:rPr>
                <w:t xml:space="preserve">https://doi.org/10.48550/arxiv.2002.09545</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The framework first applies RobustSTL-style seasonal-trend decomposition, then feeds the components to a convolutional network for anomaly detection. It supports this thesis’s method choice by showing decomposition-before-detection as a robust pattern for seasonal power-related series, even when the final detector differs from generalized ESD.</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10. </w:t>
            </w:r>
            <w:r>
              <w:rPr>
                <w:rFonts w:ascii="Arial Narrow" w:hAnsi="Arial Narrow" w:cs="Arial Narrow" w:eastAsia="Arial Narrow"/>
                <w:sz w:val="22"/>
                <w:szCs w:val="22"/>
                <w:b/>
                <w:bCs/>
              </w:rPr>
              <w:t xml:space="preserve">Advanced Diagnostic Techniques for Fault Detection and Maintenance in Diesel Generators: Integration of AI and Multimodal Sensing</w:t>
            </w:r>
          </w:p>
          <w:p>
            <w:pPr>
              <w:spacing w:before="0" w:after="0"/>
            </w:pPr>
            <w:r>
              <w:rPr>
                <w:rFonts w:ascii="Arial Narrow" w:hAnsi="Arial Narrow" w:cs="Arial Narrow" w:eastAsia="Arial Narrow"/>
                <w:sz w:val="22"/>
                <w:szCs w:val="22"/>
              </w:rPr>
              <w:t xml:space="preserve">(2025). Mina Goodarzi; Abdollah Abbasi.</w:t>
            </w:r>
          </w:p>
          <w:p>
            <w:pPr>
              <w:spacing w:before="0" w:after="0"/>
            </w:pPr>
            <w:hyperlink r:id="rId10">
              <w:r>
                <w:rPr>
                  <w:rFonts w:ascii="Arial Narrow" w:hAnsi="Arial Narrow" w:cs="Arial Narrow" w:eastAsia="Arial Narrow"/>
                  <w:sz w:val="22"/>
                  <w:szCs w:val="22"/>
                  <w:color w:val="0563C1"/>
                  <w:u w:val="single"/>
                </w:rPr>
                <w:t xml:space="preserve">https://doi.org/10.1155/vib/6278046</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A review of diesel-generator faults and of diagnostic methods that combine vibration, sound, temperature, and exhaust sensing with machine-learning models. It frames fault-linked genset behavior as a diagnostic target, which this thesis approaches through efficiency time-series anomalies rather than multimodal sensors.</w:t>
            </w:r>
          </w:p>
        </w:tc>
      </w:tr>
    </w:tbl>
    <w:p/>
    <w:tbl>
      <w:tblPr>
        <w:tblW w:w="144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0"/>
      </w:tblGrid>
      <w:tr>
        <w:tc>
          <w:tcPr>
            <w:tcW w:w="14400" w:type="dxa"/>
            <w:shd w:val="clear" w:color="auto" w:fill="548235"/>
            <w:tcMar>
              <w:top w:w="60" w:type="dxa"/>
              <w:left w:w="100" w:type="dxa"/>
              <w:bottom w:w="60" w:type="dxa"/>
              <w:right w:w="100" w:type="dxa"/>
            </w:tcMar>
          </w:tcPr>
          <w:p>
            <w:pPr>
              <w:jc w:val="center"/>
              <w:spacing w:before="40" w:after="40"/>
            </w:pPr>
            <w:r>
              <w:rPr>
                <w:rFonts w:ascii="Arial Narrow" w:hAnsi="Arial Narrow" w:cs="Arial Narrow" w:eastAsia="Arial Narrow"/>
                <w:sz w:val="24"/>
                <w:szCs w:val="24"/>
                <w:b/>
                <w:bCs/>
              </w:rPr>
              <w:t xml:space="preserve">Review of Related Studies (RRS/s)</w:t>
            </w:r>
          </w:p>
        </w:tc>
      </w:tr>
      <w:tr>
        <w:tc>
          <w:tcPr>
            <w:tcW w:w="14400" w:type="dxa"/>
            <w:shd w:val="clear" w:color="auto" w:fill="C6E0B4"/>
            <w:tcMar>
              <w:top w:w="60" w:type="dxa"/>
              <w:left w:w="100" w:type="dxa"/>
              <w:bottom w:w="60" w:type="dxa"/>
              <w:right w:w="100" w:type="dxa"/>
            </w:tcMar>
          </w:tcPr>
          <w:p>
            <w:pPr>
              <w:jc w:val="center"/>
              <w:spacing w:before="40" w:after="40"/>
            </w:pPr>
            <w:r>
              <w:rPr>
                <w:rFonts w:ascii="Arial Narrow" w:hAnsi="Arial Narrow" w:cs="Arial Narrow" w:eastAsia="Arial Narrow"/>
                <w:sz w:val="24"/>
                <w:szCs w:val="24"/>
                <w:b/>
                <w:bCs/>
              </w:rPr>
              <w:t xml:space="preserve">Local Studies</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11. </w:t>
            </w:r>
            <w:r>
              <w:rPr>
                <w:rFonts w:ascii="Arial Narrow" w:hAnsi="Arial Narrow" w:cs="Arial Narrow" w:eastAsia="Arial Narrow"/>
                <w:sz w:val="22"/>
                <w:szCs w:val="22"/>
                <w:b/>
                <w:bCs/>
              </w:rPr>
              <w:t xml:space="preserve">Transition pathways to 100 % renewable energy in 208 island mini-grids in the Philippines</w:t>
            </w:r>
          </w:p>
          <w:p>
            <w:pPr>
              <w:spacing w:before="0" w:after="0"/>
            </w:pPr>
            <w:r>
              <w:rPr>
                <w:rFonts w:ascii="Arial Narrow" w:hAnsi="Arial Narrow" w:cs="Arial Narrow" w:eastAsia="Arial Narrow"/>
                <w:sz w:val="22"/>
                <w:szCs w:val="22"/>
              </w:rPr>
              <w:t xml:space="preserve">(2024). Michael Tan Castro; Laurence L. Delina; Joey Duran Ocon.</w:t>
            </w:r>
          </w:p>
          <w:p>
            <w:pPr>
              <w:spacing w:before="0" w:after="0"/>
            </w:pPr>
            <w:hyperlink r:id="rId11">
              <w:r>
                <w:rPr>
                  <w:rFonts w:ascii="Arial Narrow" w:hAnsi="Arial Narrow" w:cs="Arial Narrow" w:eastAsia="Arial Narrow"/>
                  <w:sz w:val="22"/>
                  <w:szCs w:val="22"/>
                  <w:color w:val="0563C1"/>
                  <w:u w:val="single"/>
                </w:rPr>
                <w:t xml:space="preserve">https://doi.org/10.1016/j.esr.2024.101315</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The study collects generation and consumption data for 208 Philippine island mini-grids and simulates a path from the 2020 diesel-based system toward high renewable shares by 2050. This thesis draws on that NPC-SPUG diesel mini-grid operating context when framing efficiency and fuel-linked anomalies in missionary plants.</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12. </w:t>
            </w:r>
            <w:r>
              <w:rPr>
                <w:rFonts w:ascii="Arial Narrow" w:hAnsi="Arial Narrow" w:cs="Arial Narrow" w:eastAsia="Arial Narrow"/>
                <w:sz w:val="22"/>
                <w:szCs w:val="22"/>
                <w:b/>
                <w:bCs/>
              </w:rPr>
              <w:t xml:space="preserve">Decentralized versus Clustered Microgrids: An Energy Systems Study for Reliable Off-Grid Electrification of Small Islands</w:t>
            </w:r>
          </w:p>
          <w:p>
            <w:pPr>
              <w:spacing w:before="0" w:after="0"/>
            </w:pPr>
            <w:r>
              <w:rPr>
                <w:rFonts w:ascii="Arial Narrow" w:hAnsi="Arial Narrow" w:cs="Arial Narrow" w:eastAsia="Arial Narrow"/>
                <w:sz w:val="22"/>
                <w:szCs w:val="22"/>
              </w:rPr>
              <w:t xml:space="preserve">(2020). Olivia Francesca B. Agua; Robert Joseph A. Basilio; Mc Erschad D. Pabillan; Michael Tan Castro; Philipp Blechinger; Joey Duran Ocon.</w:t>
            </w:r>
          </w:p>
          <w:p>
            <w:pPr>
              <w:spacing w:before="0" w:after="0"/>
            </w:pPr>
            <w:hyperlink r:id="rId12">
              <w:r>
                <w:rPr>
                  <w:rFonts w:ascii="Arial Narrow" w:hAnsi="Arial Narrow" w:cs="Arial Narrow" w:eastAsia="Arial Narrow"/>
                  <w:sz w:val="22"/>
                  <w:szCs w:val="22"/>
                  <w:color w:val="0563C1"/>
                  <w:u w:val="single"/>
                </w:rPr>
                <w:t xml:space="preserve">https://doi.org/10.3390/en13174454</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Using HOMER Pro, the study compares standalone and interconnected hybrid microgrids of solar, batteries, and diesel for the Polillo islands. It shows how diesel units remain the reliability backbone in Philippine off-grid designs that this thesis monitors for efficiency anomalies.</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13. </w:t>
            </w:r>
            <w:r>
              <w:rPr>
                <w:rFonts w:ascii="Arial Narrow" w:hAnsi="Arial Narrow" w:cs="Arial Narrow" w:eastAsia="Arial Narrow"/>
                <w:sz w:val="22"/>
                <w:szCs w:val="22"/>
                <w:b/>
                <w:bCs/>
              </w:rPr>
              <w:t xml:space="preserve">Balancing Energy Trilemma Using Hybrid Distributed Rooftop Solar PV (DRSP)/Battery/Diesel Microgrid: A Case Study in Gilutongan Island, Cordova, Cebu, Philippines</w:t>
            </w:r>
          </w:p>
          <w:p>
            <w:pPr>
              <w:spacing w:before="0" w:after="0"/>
            </w:pPr>
            <w:r>
              <w:rPr>
                <w:rFonts w:ascii="Arial Narrow" w:hAnsi="Arial Narrow" w:cs="Arial Narrow" w:eastAsia="Arial Narrow"/>
                <w:sz w:val="22"/>
                <w:szCs w:val="22"/>
              </w:rPr>
              <w:t xml:space="preserve">(2021). Jaybee Lacea; Edward M. Querikiol; Evelyn B. Taboada.</w:t>
            </w:r>
          </w:p>
          <w:p>
            <w:pPr>
              <w:spacing w:before="0" w:after="0"/>
            </w:pPr>
            <w:hyperlink r:id="rId13">
              <w:r>
                <w:rPr>
                  <w:rFonts w:ascii="Arial Narrow" w:hAnsi="Arial Narrow" w:cs="Arial Narrow" w:eastAsia="Arial Narrow"/>
                  <w:sz w:val="22"/>
                  <w:szCs w:val="22"/>
                  <w:color w:val="0563C1"/>
                  <w:u w:val="single"/>
                </w:rPr>
                <w:t xml:space="preserve">https://doi.org/10.3390/en14217358</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The study designs a rooftop-solar, battery, and diesel microgrid for 11 households on Gilutongan Island and scores reliability, cost, and emissions with PVSyst and HOMER Pro. Diesel remains part of the reliable mix, so genset efficiency still matters for off-grid Philippine plants like those in this thesis.</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14. </w:t>
            </w:r>
            <w:r>
              <w:rPr>
                <w:rFonts w:ascii="Arial Narrow" w:hAnsi="Arial Narrow" w:cs="Arial Narrow" w:eastAsia="Arial Narrow"/>
                <w:sz w:val="22"/>
                <w:szCs w:val="22"/>
                <w:b/>
                <w:bCs/>
              </w:rPr>
              <w:t xml:space="preserve">Performance Analysis of a Hybrid Diesel – Renewable Energy (RE) Electrical System in Cuyo Island, Palawan, Philippines</w:t>
            </w:r>
          </w:p>
          <w:p>
            <w:pPr>
              <w:spacing w:before="0" w:after="0"/>
            </w:pPr>
            <w:r>
              <w:rPr>
                <w:rFonts w:ascii="Arial Narrow" w:hAnsi="Arial Narrow" w:cs="Arial Narrow" w:eastAsia="Arial Narrow"/>
                <w:sz w:val="22"/>
                <w:szCs w:val="22"/>
              </w:rPr>
              <w:t xml:space="preserve">(2022). Jonathan C. Pacaldo; Michael Lochinvar S. Abundo; Luzvisminda M. Bellotindos; Carlito S. Baco Jr.</w:t>
            </w:r>
          </w:p>
          <w:p>
            <w:pPr>
              <w:spacing w:before="0" w:after="0"/>
            </w:pPr>
            <w:hyperlink r:id="rId14">
              <w:r>
                <w:rPr>
                  <w:rFonts w:ascii="Arial Narrow" w:hAnsi="Arial Narrow" w:cs="Arial Narrow" w:eastAsia="Arial Narrow"/>
                  <w:sz w:val="22"/>
                  <w:szCs w:val="22"/>
                  <w:color w:val="0563C1"/>
                  <w:u w:val="single"/>
                </w:rPr>
                <w:t xml:space="preserve">https://doi.org/10.55057/ijarei.2022.4.1.1</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HOMER Pro is used to compare diesel and renewable hybrids for Cuyo Island, Palawan, on cost of energy, renewable share, and emissions. The preferred case reported is a diesel-wind hybrid. As a Palawan diesel-island case, it anchors this thesis’s plant setting before RobustSTL and generalized ESD anomaly testing.</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15. </w:t>
            </w:r>
            <w:r>
              <w:rPr>
                <w:rFonts w:ascii="Arial Narrow" w:hAnsi="Arial Narrow" w:cs="Arial Narrow" w:eastAsia="Arial Narrow"/>
                <w:sz w:val="22"/>
                <w:szCs w:val="22"/>
                <w:b/>
                <w:bCs/>
              </w:rPr>
              <w:t xml:space="preserve">The Viability of Providing 24-Hour Electricity Access to Off-Grid Island Communities in the Philippines</w:t>
            </w:r>
          </w:p>
          <w:p>
            <w:pPr>
              <w:spacing w:before="0" w:after="0"/>
            </w:pPr>
            <w:r>
              <w:rPr>
                <w:rFonts w:ascii="Arial Narrow" w:hAnsi="Arial Narrow" w:cs="Arial Narrow" w:eastAsia="Arial Narrow"/>
                <w:sz w:val="22"/>
                <w:szCs w:val="22"/>
              </w:rPr>
              <w:t xml:space="preserve">(2021). Lorafe Lozano; Edward M. Querikiol; Evelyn B. Taboada.</w:t>
            </w:r>
          </w:p>
          <w:p>
            <w:pPr>
              <w:spacing w:before="0" w:after="0"/>
            </w:pPr>
            <w:hyperlink r:id="rId15">
              <w:r>
                <w:rPr>
                  <w:rFonts w:ascii="Arial Narrow" w:hAnsi="Arial Narrow" w:cs="Arial Narrow" w:eastAsia="Arial Narrow"/>
                  <w:sz w:val="22"/>
                  <w:szCs w:val="22"/>
                  <w:color w:val="0563C1"/>
                  <w:u w:val="single"/>
                </w:rPr>
                <w:t xml:space="preserve">https://doi.org/10.3390/en14206797</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The study tests whether 24-hour supply on Philippine off-grid islands is viable for both the operator and the households, combining system design and cost with effects on consumers. Continuous diesel-backed service is the operating condition under which this thesis treats efficiency anomalies as operationally costly for NPC-SPUG-type plants.</w:t>
            </w:r>
          </w:p>
        </w:tc>
      </w:tr>
    </w:tbl>
    <w:p/>
    <w:tbl>
      <w:tblPr>
        <w:tblW w:w="144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0"/>
      </w:tblGrid>
      <w:tr>
        <w:tc>
          <w:tcPr>
            <w:tcW w:w="14400" w:type="dxa"/>
            <w:shd w:val="clear" w:color="auto" w:fill="548235"/>
            <w:tcMar>
              <w:top w:w="60" w:type="dxa"/>
              <w:left w:w="100" w:type="dxa"/>
              <w:bottom w:w="60" w:type="dxa"/>
              <w:right w:w="100" w:type="dxa"/>
            </w:tcMar>
          </w:tcPr>
          <w:p>
            <w:pPr>
              <w:jc w:val="center"/>
              <w:spacing w:before="40" w:after="40"/>
            </w:pPr>
            <w:r>
              <w:rPr>
                <w:rFonts w:ascii="Arial Narrow" w:hAnsi="Arial Narrow" w:cs="Arial Narrow" w:eastAsia="Arial Narrow"/>
                <w:sz w:val="24"/>
                <w:szCs w:val="24"/>
                <w:b/>
                <w:bCs/>
              </w:rPr>
              <w:t xml:space="preserve">Review of Related Studies (RRS/s)</w:t>
            </w:r>
          </w:p>
        </w:tc>
      </w:tr>
      <w:tr>
        <w:tc>
          <w:tcPr>
            <w:tcW w:w="14400" w:type="dxa"/>
            <w:shd w:val="clear" w:color="auto" w:fill="C6E0B4"/>
            <w:tcMar>
              <w:top w:w="60" w:type="dxa"/>
              <w:left w:w="100" w:type="dxa"/>
              <w:bottom w:w="60" w:type="dxa"/>
              <w:right w:w="100" w:type="dxa"/>
            </w:tcMar>
          </w:tcPr>
          <w:p>
            <w:pPr>
              <w:jc w:val="center"/>
              <w:spacing w:before="40" w:after="40"/>
            </w:pPr>
            <w:r>
              <w:rPr>
                <w:rFonts w:ascii="Arial Narrow" w:hAnsi="Arial Narrow" w:cs="Arial Narrow" w:eastAsia="Arial Narrow"/>
                <w:sz w:val="24"/>
                <w:szCs w:val="24"/>
                <w:b/>
                <w:bCs/>
              </w:rPr>
              <w:t xml:space="preserve">Foreign Studies</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16. </w:t>
            </w:r>
            <w:r>
              <w:rPr>
                <w:rFonts w:ascii="Arial Narrow" w:hAnsi="Arial Narrow" w:cs="Arial Narrow" w:eastAsia="Arial Narrow"/>
                <w:sz w:val="22"/>
                <w:szCs w:val="22"/>
                <w:b/>
                <w:bCs/>
              </w:rPr>
              <w:t xml:space="preserve">Hourly Power Consumption Forecasting Using RobustSTL and TCN</w:t>
            </w:r>
          </w:p>
          <w:p>
            <w:pPr>
              <w:spacing w:before="0" w:after="0"/>
            </w:pPr>
            <w:r>
              <w:rPr>
                <w:rFonts w:ascii="Arial Narrow" w:hAnsi="Arial Narrow" w:cs="Arial Narrow" w:eastAsia="Arial Narrow"/>
                <w:sz w:val="22"/>
                <w:szCs w:val="22"/>
              </w:rPr>
              <w:t xml:space="preserve">(2022). Chih-Hsueh Lin; Ulin Nuha; Guang-Zhi Lin; Tsair-Fwu Lee.</w:t>
            </w:r>
          </w:p>
          <w:p>
            <w:pPr>
              <w:spacing w:before="0" w:after="0"/>
            </w:pPr>
            <w:hyperlink r:id="rId16">
              <w:r>
                <w:rPr>
                  <w:rFonts w:ascii="Arial Narrow" w:hAnsi="Arial Narrow" w:cs="Arial Narrow" w:eastAsia="Arial Narrow"/>
                  <w:sz w:val="22"/>
                  <w:szCs w:val="22"/>
                  <w:color w:val="0563C1"/>
                  <w:u w:val="single"/>
                </w:rPr>
                <w:t xml:space="preserve">https://doi.org/10.3390/app12094331</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The study forecasts hourly power use by decomposing the series with RobustSTL, then feeding trend, season, and remainder into a temporal convolutional network. It demonstrates RobustSTL remainder extraction on power data, the same decomposition family this thesis uses before generalized ESD.</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17. </w:t>
            </w:r>
            <w:r>
              <w:rPr>
                <w:rFonts w:ascii="Arial Narrow" w:hAnsi="Arial Narrow" w:cs="Arial Narrow" w:eastAsia="Arial Narrow"/>
                <w:sz w:val="22"/>
                <w:szCs w:val="22"/>
                <w:b/>
                <w:bCs/>
              </w:rPr>
              <w:t xml:space="preserve">Anomaly Detection Model of Power Grid Data Based on STL Decomposition</w:t>
            </w:r>
          </w:p>
          <w:p>
            <w:pPr>
              <w:spacing w:before="0" w:after="0"/>
            </w:pPr>
            <w:r>
              <w:rPr>
                <w:rFonts w:ascii="Arial Narrow" w:hAnsi="Arial Narrow" w:cs="Arial Narrow" w:eastAsia="Arial Narrow"/>
                <w:sz w:val="22"/>
                <w:szCs w:val="22"/>
              </w:rPr>
              <w:t xml:space="preserve">(2021). Cuicui Zhang; Jiali Sun; Ruixuan Lu; Peng Wang.</w:t>
            </w:r>
          </w:p>
          <w:p>
            <w:pPr>
              <w:spacing w:before="0" w:after="0"/>
            </w:pPr>
            <w:hyperlink r:id="rId17">
              <w:r>
                <w:rPr>
                  <w:rFonts w:ascii="Arial Narrow" w:hAnsi="Arial Narrow" w:cs="Arial Narrow" w:eastAsia="Arial Narrow"/>
                  <w:sz w:val="22"/>
                  <w:szCs w:val="22"/>
                  <w:color w:val="0563C1"/>
                  <w:u w:val="single"/>
                </w:rPr>
                <w:t xml:space="preserve">https://doi.org/10.1109/itnec52019.2021.9587107</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Power-grid series are decomposed with STL, and the residual is tested for anomalies. Experiments check that the residual test can flag abnormal grid data. That STL-then-residual pattern matches this thesis’s RobustSTL plus generalized ESD design for genset efficiency series.</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18. </w:t>
            </w:r>
            <w:r>
              <w:rPr>
                <w:rFonts w:ascii="Arial Narrow" w:hAnsi="Arial Narrow" w:cs="Arial Narrow" w:eastAsia="Arial Narrow"/>
                <w:sz w:val="22"/>
                <w:szCs w:val="22"/>
                <w:b/>
                <w:bCs/>
              </w:rPr>
              <w:t xml:space="preserve">Increasing the Efficiency of a Diesel-Generator Power Plant</w:t>
            </w:r>
          </w:p>
          <w:p>
            <w:pPr>
              <w:spacing w:before="0" w:after="0"/>
            </w:pPr>
            <w:r>
              <w:rPr>
                <w:rFonts w:ascii="Arial Narrow" w:hAnsi="Arial Narrow" w:cs="Arial Narrow" w:eastAsia="Arial Narrow"/>
                <w:sz w:val="22"/>
                <w:szCs w:val="22"/>
              </w:rPr>
              <w:t xml:space="preserve">(2020). Олег Станиславович Хватов; Dmitry Sergeevich Kobyakov.</w:t>
            </w:r>
          </w:p>
          <w:p>
            <w:pPr>
              <w:spacing w:before="0" w:after="0"/>
            </w:pPr>
            <w:hyperlink r:id="rId18">
              <w:r>
                <w:rPr>
                  <w:rFonts w:ascii="Arial Narrow" w:hAnsi="Arial Narrow" w:cs="Arial Narrow" w:eastAsia="Arial Narrow"/>
                  <w:sz w:val="22"/>
                  <w:szCs w:val="22"/>
                  <w:color w:val="0563C1"/>
                  <w:u w:val="single"/>
                </w:rPr>
                <w:t xml:space="preserve">https://doi.org/10.3103/s106837122012007x</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The study simulates a plant that pairs a conventional diesel-generator set with a variable-speed set, an active rectifier, an inverter, and buffer storage, and runs load-switching cases in MATLAB/Simulink. It treats diesel-genset efficiency under changing load as the performance object this thesis seeks to monitor for fault-linked anomalies.</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19. </w:t>
            </w:r>
            <w:r>
              <w:rPr>
                <w:rFonts w:ascii="Arial Narrow" w:hAnsi="Arial Narrow" w:cs="Arial Narrow" w:eastAsia="Arial Narrow"/>
                <w:sz w:val="22"/>
                <w:szCs w:val="22"/>
                <w:b/>
                <w:bCs/>
              </w:rPr>
              <w:t xml:space="preserve">Significant Increase in Fuel Efficiency of Diesel Generators with Lithium-Ion Batteries Documented by Economic Analysis</w:t>
            </w:r>
          </w:p>
          <w:p>
            <w:pPr>
              <w:spacing w:before="0" w:after="0"/>
            </w:pPr>
            <w:r>
              <w:rPr>
                <w:rFonts w:ascii="Arial Narrow" w:hAnsi="Arial Narrow" w:cs="Arial Narrow" w:eastAsia="Arial Narrow"/>
                <w:sz w:val="22"/>
                <w:szCs w:val="22"/>
              </w:rPr>
              <w:t xml:space="preserve">(2021). Vedat Kıray; Mehmet Orhan; John Nwankwo Chijioke.</w:t>
            </w:r>
          </w:p>
          <w:p>
            <w:pPr>
              <w:spacing w:before="0" w:after="0"/>
            </w:pPr>
            <w:hyperlink r:id="rId19">
              <w:r>
                <w:rPr>
                  <w:rFonts w:ascii="Arial Narrow" w:hAnsi="Arial Narrow" w:cs="Arial Narrow" w:eastAsia="Arial Narrow"/>
                  <w:sz w:val="22"/>
                  <w:szCs w:val="22"/>
                  <w:color w:val="0563C1"/>
                  <w:u w:val="single"/>
                </w:rPr>
                <w:t xml:space="preserve">https://doi.org/10.3390/en14216904</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A MATLAB model of a 457 kW diesel generator is run with and without a lithium-ion battery, and fuel use is compared. Those fuel-efficiency shifts under different operating setups reinforce why this thesis treats efficiency time series as a useful anomaly signal for diesel gensets.</w:t>
            </w:r>
          </w:p>
        </w:tc>
      </w:tr>
      <w:tr>
        <w:tc>
          <w:tcPr>
            <w:tcW w:w="14400" w:type="dxa"/>
            <w:tcMar>
              <w:top w:w="80" w:type="dxa"/>
              <w:left w:w="100" w:type="dxa"/>
              <w:bottom w:w="80" w:type="dxa"/>
              <w:right w:w="100" w:type="dxa"/>
            </w:tcMar>
          </w:tcPr>
          <w:p>
            <w:pPr>
              <w:spacing w:before="0" w:after="0"/>
            </w:pPr>
            <w:r>
              <w:rPr>
                <w:rFonts w:ascii="Arial Narrow" w:hAnsi="Arial Narrow" w:cs="Arial Narrow" w:eastAsia="Arial Narrow"/>
                <w:sz w:val="22"/>
                <w:szCs w:val="22"/>
                <w:b/>
                <w:bCs/>
              </w:rPr>
              <w:t xml:space="preserve">20. </w:t>
            </w:r>
            <w:r>
              <w:rPr>
                <w:rFonts w:ascii="Arial Narrow" w:hAnsi="Arial Narrow" w:cs="Arial Narrow" w:eastAsia="Arial Narrow"/>
                <w:sz w:val="22"/>
                <w:szCs w:val="22"/>
                <w:b/>
                <w:bCs/>
              </w:rPr>
              <w:t xml:space="preserve">Comparing Outlier Detection Methods using Boxplot Generalized Extreme Studentized Deviate and Sequential Fences</w:t>
            </w:r>
          </w:p>
          <w:p>
            <w:pPr>
              <w:spacing w:before="0" w:after="0"/>
            </w:pPr>
            <w:r>
              <w:rPr>
                <w:rFonts w:ascii="Arial Narrow" w:hAnsi="Arial Narrow" w:cs="Arial Narrow" w:eastAsia="Arial Narrow"/>
                <w:sz w:val="22"/>
                <w:szCs w:val="22"/>
              </w:rPr>
              <w:t xml:space="preserve">(2022). Anwar Fitrianto; Wan Zuki Azman Wan Muhamad; Suliana Kriswan; Budi Susetyo.</w:t>
            </w:r>
          </w:p>
          <w:p>
            <w:pPr>
              <w:spacing w:before="0" w:after="0"/>
            </w:pPr>
            <w:hyperlink r:id="rId20">
              <w:r>
                <w:rPr>
                  <w:rFonts w:ascii="Arial Narrow" w:hAnsi="Arial Narrow" w:cs="Arial Narrow" w:eastAsia="Arial Narrow"/>
                  <w:sz w:val="22"/>
                  <w:szCs w:val="22"/>
                  <w:color w:val="0563C1"/>
                  <w:u w:val="single"/>
                </w:rPr>
                <w:t xml:space="preserve">https://doi.org/10.13170/aijst.11.1.23809</w:t>
              </w:r>
            </w:hyperlink>
          </w:p>
          <w:p>
            <w:pPr>
              <w:spacing w:before="0" w:after="0"/>
            </w:pPr>
            <w:r>
              <w:rPr>
                <w:rFonts w:ascii="Arial Narrow" w:hAnsi="Arial Narrow" w:cs="Arial Narrow" w:eastAsia="Arial Narrow"/>
                <w:sz w:val="22"/>
                <w:szCs w:val="22"/>
              </w:rPr>
              <w:t xml:space="preserve"/>
            </w:r>
          </w:p>
          <w:p>
            <w:pPr>
              <w:spacing w:before="0" w:after="60"/>
            </w:pPr>
            <w:r>
              <w:rPr>
                <w:rFonts w:ascii="Arial Narrow" w:hAnsi="Arial Narrow" w:cs="Arial Narrow" w:eastAsia="Arial Narrow"/>
                <w:sz w:val="22"/>
                <w:szCs w:val="22"/>
              </w:rPr>
              <w:t xml:space="preserve">The study compares the boxplot rule, generalized ESD, and sequential fences on a published dataset after outliers are planted at the extremes. Sequential fences found the planted outliers more successfully than generalized ESD in that test. The comparison informs how this thesis should apply and interpret generalized ESD on RobustSTL residuals.</w:t>
            </w:r>
          </w:p>
        </w:tc>
      </w:tr>
    </w:tbl>
    <w:p/>
    <w:sectPr>
      <w:pgSz w:w="15840" w:h="12240" w:orient="landscape"/>
      <w:pgMar w:top="720" w:right="720" w:bottom="720" w:left="720" w:header="360" w:footer="360"/>
    </w:sectPr>
  </w:body>
</w:document>
</file>

<file path=word/_rels/document.xml.rels><?xml version="1.0" encoding="UTF-8" standalone="yes"?><Relationships xmlns="http://schemas.openxmlformats.org/package/2006/relationships"><Relationship Id="rId1" Type="http://schemas.openxmlformats.org/officeDocument/2006/relationships/hyperlink" Target="https://doi.org/10.3390/smartcities7030043" TargetMode="External"/><Relationship Id="rId2" Type="http://schemas.openxmlformats.org/officeDocument/2006/relationships/hyperlink" Target="https://doi.org/10.3390/en15134794" TargetMode="External"/><Relationship Id="rId3" Type="http://schemas.openxmlformats.org/officeDocument/2006/relationships/hyperlink" Target="https://doi.org/10.1016/j.energy.2020.117670" TargetMode="External"/><Relationship Id="rId4" Type="http://schemas.openxmlformats.org/officeDocument/2006/relationships/hyperlink" Target="https://www.napocor.gov.ph/wp-content/uploads/Operations/NPC_Missionary_Electrification_Plan_2025-2029.pdf" TargetMode="External"/><Relationship Id="rId5" Type="http://schemas.openxmlformats.org/officeDocument/2006/relationships/hyperlink" Target="https://doi.org/10.62986/dp2022.48" TargetMode="External"/><Relationship Id="rId6" Type="http://schemas.openxmlformats.org/officeDocument/2006/relationships/hyperlink" Target="https://doi.org/10.1145/3394486.3403271" TargetMode="External"/><Relationship Id="rId7" Type="http://schemas.openxmlformats.org/officeDocument/2006/relationships/hyperlink" Target="https://doi.org/10.1520/d7915-22" TargetMode="External"/><Relationship Id="rId8" Type="http://schemas.openxmlformats.org/officeDocument/2006/relationships/hyperlink" Target="https://doi.org/10.14778/3583140.3583155" TargetMode="External"/><Relationship Id="rId9" Type="http://schemas.openxmlformats.org/officeDocument/2006/relationships/hyperlink" Target="https://doi.org/10.48550/arxiv.2002.09545" TargetMode="External"/><Relationship Id="rId10" Type="http://schemas.openxmlformats.org/officeDocument/2006/relationships/hyperlink" Target="https://doi.org/10.1155/vib/6278046" TargetMode="External"/><Relationship Id="rId11" Type="http://schemas.openxmlformats.org/officeDocument/2006/relationships/hyperlink" Target="https://doi.org/10.1016/j.esr.2024.101315" TargetMode="External"/><Relationship Id="rId12" Type="http://schemas.openxmlformats.org/officeDocument/2006/relationships/hyperlink" Target="https://doi.org/10.3390/en13174454" TargetMode="External"/><Relationship Id="rId13" Type="http://schemas.openxmlformats.org/officeDocument/2006/relationships/hyperlink" Target="https://doi.org/10.3390/en14217358" TargetMode="External"/><Relationship Id="rId14" Type="http://schemas.openxmlformats.org/officeDocument/2006/relationships/hyperlink" Target="https://doi.org/10.55057/ijarei.2022.4.1.1" TargetMode="External"/><Relationship Id="rId15" Type="http://schemas.openxmlformats.org/officeDocument/2006/relationships/hyperlink" Target="https://doi.org/10.3390/en14206797" TargetMode="External"/><Relationship Id="rId16" Type="http://schemas.openxmlformats.org/officeDocument/2006/relationships/hyperlink" Target="https://doi.org/10.3390/app12094331" TargetMode="External"/><Relationship Id="rId17" Type="http://schemas.openxmlformats.org/officeDocument/2006/relationships/hyperlink" Target="https://doi.org/10.1109/itnec52019.2021.9587107" TargetMode="External"/><Relationship Id="rId18" Type="http://schemas.openxmlformats.org/officeDocument/2006/relationships/hyperlink" Target="https://doi.org/10.3103/s106837122012007x" TargetMode="External"/><Relationship Id="rId19" Type="http://schemas.openxmlformats.org/officeDocument/2006/relationships/hyperlink" Target="https://doi.org/10.3390/en14216904" TargetMode="External"/><Relationship Id="rId20" Type="http://schemas.openxmlformats.org/officeDocument/2006/relationships/hyperlink" Target="https://doi.org/10.13170/aijst.11.1.23809" TargetMode="External"/></Relationships>
</file>