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b w:val="1"/>
          <w:bCs w:val="1"/>
          <w:i w:val="1"/>
          <w:iCs w:val="1"/>
        </w:rPr>
      </w:pPr>
      <w:r>
        <w:rPr>
          <w:rFonts w:ascii="Arial Narrow" w:cs="Arial Narrow" w:eastAsia="Arial Narrow" w:hAnsi="Arial Narrow"/>
          <w:b w:val="1"/>
          <w:bCs w:val="1"/>
          <w:i w:val="1"/>
          <w:iCs w:val="1"/>
          <w:color w:val="ff0000"/>
          <w:rtl w:val="0"/>
        </w:rPr>
        <w:t xml:space="preserve">NOTE: THIS IS ONLY OPTIONAL! </w:t>
      </w:r>
      <w:r>
        <w:rPr>
          <w:rFonts w:ascii="Arial Narrow" w:cs="Arial Narrow" w:eastAsia="Arial Narrow" w:hAnsi="Arial Narrow"/>
          <w:b w:val="1"/>
          <w:bCs w:val="1"/>
          <w:i w:val="1"/>
          <w:iCs w:val="1"/>
          <w:rtl w:val="0"/>
        </w:rPr>
        <w:t xml:space="preserve">Review of Related Literature </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gridCol w:w="2160"/>
        <w:tblGridChange w:id="0">
          <w:tblGrid>
            <w:gridCol w:w="2160"/>
            <w:gridCol w:w="2160"/>
            <w:gridCol w:w="2160"/>
            <w:gridCol w:w="2160"/>
            <w:gridCol w:w="2160"/>
            <w:gridCol w:w="2160"/>
          </w:tblGrid>
        </w:tblGridChange>
      </w:tblGrid>
      <w:tr>
        <w:trPr>
          <w:cantSplit w:val="0"/>
          <w:trHeight w:val="420" w:hRule="atLeast"/>
          <w:tblHeader w:val="0"/>
        </w:trPr>
        <w:tc>
          <w:tcPr>
            <w:gridSpan w:val="6"/>
            <w:shd w:fill="6aa84f" w:val="clear"/>
            <w:tcMar>
              <w:top w:w="100.0" w:type="dxa"/>
              <w:left w:w="100.0" w:type="dxa"/>
              <w:bottom w:w="100.0" w:type="dxa"/>
              <w:right w:w="100.0" w:type="dxa"/>
            </w:tcMar>
            <w:vAlign w:val="top"/>
          </w:tcPr>
          <w:p w:rsidR="00000000" w:rsidDel="00000000" w:rsidP="00000000" w:rsidRDefault="00000000" w:rsidRPr="00000000" w14:paraId="00000002">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Local Literature</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8">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Title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9">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Author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A">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Essential Points / Key Findings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Methodology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C">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Participants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D">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Arial Narrow" w:cs="Arial Narrow" w:eastAsia="Arial Narrow" w:hAnsi="Arial Narrow"/>
              </w:rPr>
            </w:pPr>
            <w:r>
              <w:rPr>
                <w:rFonts w:ascii="Arial Narrow" w:cs="Arial Narrow" w:eastAsia="Arial Narrow" w:hAnsi="Arial Narrow"/>
                <w:rtl w:val="0"/>
              </w:rPr>
              <w:t>Off-Grid Electrification Using Renewable Energy in the Philippines: A Comprehensive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Arial Narrow" w:cs="Arial Narrow" w:eastAsia="Arial Narrow" w:hAnsi="Arial Narrow"/>
              </w:rPr>
            </w:pPr>
            <w:r>
              <w:rPr>
                <w:rFonts w:ascii="Arial Narrow" w:cs="Arial Narrow" w:eastAsia="Arial Narrow" w:hAnsi="Arial Narrow"/>
                <w:rtl w:val="0"/>
              </w:rPr>
              <w:t>Arizeo C. Salac; Jairus Dameanne C. Somera; Michael Tan Castro; Maricor Divinagracia-Luzadas; Louis Angelo M. Danao; Joey Duran Ocon (2024). https://doi.org/10.3390/smartcities7030043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Arial Narrow" w:cs="Arial Narrow" w:eastAsia="Arial Narrow" w:hAnsi="Arial Narrow"/>
              </w:rPr>
            </w:pPr>
            <w:r>
              <w:rPr>
                <w:rFonts w:ascii="Arial Narrow" w:cs="Arial Narrow" w:eastAsia="Arial Narrow" w:hAnsi="Arial Narrow"/>
                <w:rtl w:val="0"/>
              </w:rPr>
              <w:t>Many electrified Philippine off-grid areas still depend on diesel power plants, and supply is often limited to a few hours a day. A review of studies from 2012 to 2023 finds crowded technical and economic work on hybrid renewable systems, while environmental and socio-political factors are thinner and rarely tied to the technical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Arial Narrow" w:cs="Arial Narrow" w:eastAsia="Arial Narrow" w:hAnsi="Arial Narrow"/>
              </w:rPr>
            </w:pPr>
            <w:r>
              <w:rPr>
                <w:rFonts w:ascii="Arial Narrow" w:cs="Arial Narrow" w:eastAsia="Arial Narrow" w:hAnsi="Arial Narrow"/>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Arial Narrow" w:cs="Arial Narrow" w:eastAsia="Arial Narrow" w:hAnsi="Arial Narrow"/>
              </w:rPr>
            </w:pPr>
            <w:r>
              <w:rPr>
                <w:rFonts w:ascii="Arial Narrow" w:cs="Arial Narrow" w:eastAsia="Arial Narrow" w:hAnsi="Arial Narrow"/>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Arial Narrow" w:cs="Arial Narrow" w:eastAsia="Arial Narrow" w:hAnsi="Arial Narrow"/>
              </w:rPr>
            </w:pPr>
            <w:r>
              <w:rPr>
                <w:rFonts w:ascii="Arial Narrow" w:cs="Arial Narrow" w:eastAsia="Arial Narrow" w:hAnsi="Arial Narrow"/>
                <w:rtl w:val="0"/>
              </w:r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Arial Narrow" w:cs="Arial Narrow" w:eastAsia="Arial Narrow" w:hAnsi="Arial Narrow"/>
              </w:rPr>
            </w:pPr>
            <w:r>
              <w:rPr>
                <w:rFonts w:ascii="Arial Narrow" w:hAnsi="Arial Narrow" w:cs="Arial Narrow" w:eastAsia="Arial Narrow"/>
                <w:rtl w:val="0"/>
              </w:rPr>
              <w:t xml:space="preserve">From Waste to Renewable Energy: A Policy Review on Waste-to-Energy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Arial Narrow" w:cs="Arial Narrow" w:eastAsia="Arial Narrow" w:hAnsi="Arial Narrow"/>
              </w:rPr>
            </w:pPr>
            <w:r>
              <w:rPr>
                <w:rFonts w:ascii="Arial Narrow" w:hAnsi="Arial Narrow" w:cs="Arial Narrow" w:eastAsia="Arial Narrow"/>
                <w:rtl w:val="0"/>
              </w:rPr>
              <w:t xml:space="preserve">Samuel David S. Anonas; Francis Darwin T. Eugenio; BenJeMar-Hope F. Flores; Paul Heherson M. Balite; Jan Goran T. Tomacruz; Lawrence A. Limjuco; Joey Duran Ocon (2023). https://doi.org/10.3390/su151712963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Arial Narrow" w:cs="Arial Narrow" w:eastAsia="Arial Narrow" w:hAnsi="Arial Narrow"/>
              </w:rPr>
            </w:pPr>
            <w:r>
              <w:rPr>
                <w:rFonts w:ascii="Arial Narrow" w:hAnsi="Arial Narrow" w:cs="Arial Narrow" w:eastAsia="Arial Narrow"/>
                <w:rtl w:val="0"/>
              </w:rPr>
              <w:t xml:space="preserve">The paper reviews Philippine waste-to-energy policy against waste-management and renewable-energy rules, using policy documents and interviews. It finds a clash: waste policy stresses minimization, while the renewable-energy framework treats waste-to-energy as a resource to promote. It is local policy context for how national rules shape supply choices beside diesel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Arial Narrow" w:cs="Arial Narrow" w:eastAsia="Arial Narrow" w:hAnsi="Arial Narrow"/>
              </w:rPr>
            </w:pPr>
            <w:r>
              <w:rPr>
                <w:rFonts w:ascii="Arial Narrow" w:hAnsi="Arial Narrow" w:cs="Arial Narrow" w:eastAsia="Arial Narrow"/>
                <w:rtl w:val="0"/>
              </w:rPr>
              <w:t xml:space="preserve">Variable Renewable Energy Forecasting in the Philippines: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Arial Narrow" w:cs="Arial Narrow" w:eastAsia="Arial Narrow" w:hAnsi="Arial Narrow"/>
              </w:rPr>
            </w:pPr>
            <w:r>
              <w:rPr>
                <w:rFonts w:ascii="Arial Narrow" w:hAnsi="Arial Narrow" w:cs="Arial Narrow" w:eastAsia="Arial Narrow"/>
                <w:rtl w:val="0"/>
              </w:rPr>
              <w:t xml:space="preserve">Ian Bartican Benitez; Jai Govind Singh; Kasparov I. Repedro (2024). https://doi.org/10.1109/icue63019.2024.10795644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Arial Narrow" w:cs="Arial Narrow" w:eastAsia="Arial Narrow" w:hAnsi="Arial Narrow"/>
              </w:rPr>
            </w:pPr>
            <w:r>
              <w:rPr>
                <w:rFonts w:ascii="Arial Narrow" w:hAnsi="Arial Narrow" w:cs="Arial Narrow" w:eastAsia="Arial Narrow"/>
                <w:rtl w:val="0"/>
              </w:rPr>
              <w:t xml:space="preserve">The review covers solar and wind forecasting methods used in the Philippines, including physical, statistical, machine-learning, and hybrid models. Many of the reported models miss the 18 percent mean absolute percentage error limit of the Wholesale Electricity Spot Market. It shows why time-series methods on Philippine power data need an accuracy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Arial Narrow" w:cs="Arial Narrow" w:eastAsia="Arial Narrow" w:hAnsi="Arial Narrow"/>
              </w:rPr>
            </w:pPr>
            <w:r>
              <w:rPr>
                <w:rFonts w:ascii="Arial Narrow" w:hAnsi="Arial Narrow" w:cs="Arial Narrow" w:eastAsia="Arial Narrow"/>
                <w:rtl w:val="0"/>
              </w:rPr>
              <w:t xml:space="preserve">Drivers, Roadblocks and Status Quo of Renewable Energy Transition in The Philippines: A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Arial Narrow" w:cs="Arial Narrow" w:eastAsia="Arial Narrow" w:hAnsi="Arial Narrow"/>
              </w:rPr>
            </w:pPr>
            <w:r>
              <w:rPr>
                <w:rFonts w:ascii="Arial Narrow" w:hAnsi="Arial Narrow" w:cs="Arial Narrow" w:eastAsia="Arial Narrow"/>
                <w:rtl w:val="0"/>
              </w:rPr>
              <w:t xml:space="preserve">Melanie Ecalnea Ricardo (2022). https://doi.org/10.46610/joares.2022.v08i03.001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Arial Narrow" w:cs="Arial Narrow" w:eastAsia="Arial Narrow" w:hAnsi="Arial Narrow"/>
              </w:rPr>
            </w:pPr>
            <w:r>
              <w:rPr>
                <w:rFonts w:ascii="Arial Narrow" w:hAnsi="Arial Narrow" w:cs="Arial Narrow" w:eastAsia="Arial Narrow"/>
                <w:rtl w:val="0"/>
              </w:rPr>
              <w:t xml:space="preserve">This literature review covers the Philippines’ move away from fossil-fuel generation toward a 50 percent renewable mix by 2040. It discusses laws, programs, enablers, and roadblocks drawn from research articles and government reports. It places diesel-based generation inside the fossil-fuel system the transition is meant to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Arial Narrow" w:cs="Arial Narrow" w:eastAsia="Arial Narrow" w:hAnsi="Arial Narrow"/>
              </w:rPr>
            </w:pPr>
            <w:r>
              <w:rPr>
                <w:rFonts w:ascii="Arial Narrow" w:hAnsi="Arial Narrow" w:cs="Arial Narrow" w:eastAsia="Arial Narrow"/>
                <w:rtl w:val="0"/>
              </w:rPr>
              <w:t xml:space="preserve">RENEWABLE ENERGY DEVELOPMENT TOWARDS SUSTAINABLE DEVELOPMENT GOALS: A REVIEW IN THAILAND AND THE PHILIPPINES’ LAWS AND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Arial Narrow" w:cs="Arial Narrow" w:eastAsia="Arial Narrow" w:hAnsi="Arial Narrow"/>
              </w:rPr>
            </w:pPr>
            <w:r>
              <w:rPr>
                <w:rFonts w:ascii="Arial Narrow" w:hAnsi="Arial Narrow" w:cs="Arial Narrow" w:eastAsia="Arial Narrow"/>
                <w:rtl w:val="0"/>
              </w:rPr>
              <w:t xml:space="preserve">Farahdilah Binti Ghazali; Siti Fazilah Abdul Shukor; Ridoan Karim (2024). https://doi.org/10.24200/jonus.vol9iss2pp1-33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Arial Narrow" w:cs="Arial Narrow" w:eastAsia="Arial Narrow" w:hAnsi="Arial Narrow"/>
              </w:rPr>
            </w:pPr>
            <w:r>
              <w:rPr>
                <w:rFonts w:ascii="Arial Narrow" w:hAnsi="Arial Narrow" w:cs="Arial Narrow" w:eastAsia="Arial Narrow"/>
                <w:rtl w:val="0"/>
              </w:rPr>
              <w:t xml:space="preserve">A library review of renewable-energy laws and policies in Thailand and the Philippines under Sustainable Development Goal 7. Both countries use incentive policies, yet renewable energy remains a small share of supply. The Philippine half of the review is the legal setting for programs that sit beside diesel mini-grids.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Arial Narrow" w:cs="Arial Narrow" w:eastAsia="Arial Narrow" w:hAnsi="Arial Narrow"/>
              </w:rPr>
            </w:pPr>
            <w:r>
              <w:rPr>
                <w:rtl w:val="0"/>
              </w:rPr>
            </w:r>
          </w:p>
        </w:tc>
      </w:tr>
    </w:tbl>
    <w:p w:rsidR="00000000" w:rsidDel="00000000" w:rsidP="00000000" w:rsidRDefault="00000000" w:rsidRPr="00000000" w14:paraId="0000002C">
      <w:pPr>
        <w:rPr>
          <w:rFonts w:ascii="Arial Narrow" w:cs="Arial Narrow" w:eastAsia="Arial Narrow" w:hAnsi="Arial Narrow"/>
        </w:rPr>
      </w:pPr>
      <w:r>
        <w:rPr>
          <w:rtl w:val="0"/>
        </w:rPr>
      </w:r>
    </w:p>
    <w:p w:rsidR="00000000" w:rsidDel="00000000" w:rsidP="00000000" w:rsidRDefault="00000000" w:rsidRPr="00000000" w14:paraId="0000002D">
      <w:pPr>
        <w:rPr>
          <w:rFonts w:ascii="Arial Narrow" w:cs="Arial Narrow" w:eastAsia="Arial Narrow" w:hAnsi="Arial Narrow"/>
        </w:rPr>
      </w:pPr>
      <w:r>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gridCol w:w="2160"/>
        <w:tblGridChange w:id="0">
          <w:tblGrid>
            <w:gridCol w:w="2160"/>
            <w:gridCol w:w="2160"/>
            <w:gridCol w:w="2160"/>
            <w:gridCol w:w="2160"/>
            <w:gridCol w:w="2160"/>
            <w:gridCol w:w="2160"/>
          </w:tblGrid>
        </w:tblGridChange>
      </w:tblGrid>
      <w:tr>
        <w:trPr>
          <w:cantSplit w:val="0"/>
          <w:trHeight w:val="420" w:hRule="atLeast"/>
          <w:tblHeader w:val="0"/>
        </w:trPr>
        <w:tc>
          <w:tcPr>
            <w:gridSpan w:val="6"/>
            <w:shd w:fill="6aa84f" w:val="clear"/>
            <w:tcMar>
              <w:top w:w="100.0" w:type="dxa"/>
              <w:left w:w="100.0" w:type="dxa"/>
              <w:bottom w:w="100.0" w:type="dxa"/>
              <w:right w:w="100.0" w:type="dxa"/>
            </w:tcMar>
            <w:vAlign w:val="top"/>
          </w:tcPr>
          <w:p w:rsidR="00000000" w:rsidDel="00000000" w:rsidP="00000000" w:rsidRDefault="00000000" w:rsidRPr="00000000" w14:paraId="0000002E">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Foreign Literature</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4">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Title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Author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Essential Points / Key Findings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Methodology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Participants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Arial Narrow" w:cs="Arial Narrow" w:eastAsia="Arial Narrow" w:hAnsi="Arial Narrow"/>
              </w:rPr>
            </w:pPr>
            <w:r>
              <w:rPr>
                <w:rFonts w:ascii="Arial Narrow" w:hAnsi="Arial Narrow" w:cs="Arial Narrow" w:eastAsia="Arial Narrow"/>
                <w:rtl w:val="0"/>
              </w:rPr>
              <w:t xml:space="preserve">Fast RobustSTL: Efficient and Robust Seasonal-Trend Decomposition for Time Series with Complex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Arial Narrow" w:cs="Arial Narrow" w:eastAsia="Arial Narrow" w:hAnsi="Arial Narrow"/>
              </w:rPr>
            </w:pPr>
            <w:r>
              <w:rPr>
                <w:rFonts w:ascii="Arial Narrow" w:hAnsi="Arial Narrow" w:cs="Arial Narrow" w:eastAsia="Arial Narrow"/>
                <w:rtl w:val="0"/>
              </w:rPr>
              <w:t xml:space="preserve">Qingsong Wen; Zhe Zhang; Li Yan; Liang Sun (2020). https://doi.org/10.1145/3394486.3403271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Arial Narrow" w:cs="Arial Narrow" w:eastAsia="Arial Narrow" w:hAnsi="Arial Narrow"/>
              </w:rPr>
            </w:pPr>
            <w:r>
              <w:rPr>
                <w:rFonts w:ascii="Arial Narrow" w:hAnsi="Arial Narrow" w:cs="Arial Narrow" w:eastAsia="Arial Narrow"/>
                <w:rtl w:val="0"/>
              </w:rPr>
              <w:t xml:space="preserve">The paper extends RobustSTL so seasonal-trend decomposition can handle more than one seasonal cycle and run faster, using a generalized ADMM method that cuts each iteration from quadratic time toward O(N log N). It treats trend, seasonality, outliers, and noise as parts that should be separated before 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Arial Narrow" w:cs="Arial Narrow" w:eastAsia="Arial Narrow" w:hAnsi="Arial Narrow"/>
              </w:rPr>
            </w:pPr>
            <w:r>
              <w:rPr>
                <w:rFonts w:ascii="Arial Narrow" w:hAnsi="Arial Narrow" w:cs="Arial Narrow" w:eastAsia="Arial Narrow"/>
                <w:rtl w:val="0"/>
              </w:rPr>
              <w:t xml:space="preserve">Practice for Application of Generalized Extreme Studentized Deviate (GESD) Technique to Simultaneously Identify Multiple Outliers in a Data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Arial Narrow" w:cs="Arial Narrow" w:eastAsia="Arial Narrow" w:hAnsi="Arial Narrow"/>
              </w:rPr>
            </w:pPr>
            <w:r>
              <w:rPr>
                <w:rFonts w:ascii="Arial Narrow" w:hAnsi="Arial Narrow" w:cs="Arial Narrow" w:eastAsia="Arial Narrow"/>
                <w:rtl w:val="0"/>
              </w:rPr>
              <w:t xml:space="preserve">ASTM D02 Committee (2022). https://doi.org/10.1520/d7915-22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Arial Narrow" w:cs="Arial Narrow" w:eastAsia="Arial Narrow" w:hAnsi="Arial Narrow"/>
              </w:rPr>
            </w:pPr>
            <w:r>
              <w:rPr>
                <w:rFonts w:ascii="Arial Narrow" w:hAnsi="Arial Narrow" w:cs="Arial Narrow" w:eastAsia="Arial Narrow"/>
                <w:rtl w:val="0"/>
              </w:rPr>
              <w:t xml:space="preserve">This standard states how to apply the generalized extreme Studentized deviate procedure to flag up to a preset number of outliers in one pass, without deciding beforehand where those outliers sit. It is the outlier test named in the thesis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Arial Narrow" w:cs="Arial Narrow" w:eastAsia="Arial Narrow" w:hAnsi="Arial Narrow"/>
              </w:rPr>
            </w:pPr>
            <w:r>
              <w:rPr>
                <w:rFonts w:ascii="Arial Narrow" w:hAnsi="Arial Narrow" w:cs="Arial Narrow" w:eastAsia="Arial Narrow"/>
                <w:rtl w:val="0"/>
              </w:rPr>
              <w:t xml:space="preserve">OneShotSTL: One-Shot Seasonal-Trend Decomposition For Online Time Series Anomaly Detection And Forecasting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Arial Narrow" w:cs="Arial Narrow" w:eastAsia="Arial Narrow" w:hAnsi="Arial Narrow"/>
              </w:rPr>
            </w:pPr>
            <w:r>
              <w:rPr>
                <w:rFonts w:ascii="Arial Narrow" w:hAnsi="Arial Narrow" w:cs="Arial Narrow" w:eastAsia="Arial Narrow"/>
                <w:rtl w:val="0"/>
              </w:rPr>
              <w:t xml:space="preserve">Xiao He; Ye Li; Jian Rong Tan; Bin Wu; Feifei Li (2023). https://doi.org/10.14778/3583140.3583155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Arial Narrow" w:cs="Arial Narrow" w:eastAsia="Arial Narrow" w:hAnsi="Arial Narrow"/>
              </w:rPr>
            </w:pPr>
            <w:r>
              <w:rPr>
                <w:rFonts w:ascii="Arial Narrow" w:hAnsi="Arial Narrow" w:cs="Arial Narrow" w:eastAsia="Arial Narrow"/>
                <w:rtl w:val="0"/>
              </w:rPr>
              <w:t xml:space="preserve">The paper presents an online seasonal-trend decomposition whose update cost is constant time, for anomaly detection and forecasting. On benchmark series it is far faster than batch decomposition, with similar accuracy. It shows why decomposition is used to expose anomalies in seasonal operating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Arial Narrow" w:cs="Arial Narrow" w:eastAsia="Arial Narrow" w:hAnsi="Arial Narrow"/>
              </w:rPr>
            </w:pPr>
            <w:r>
              <w:rPr>
                <w:rFonts w:ascii="Arial Narrow" w:hAnsi="Arial Narrow" w:cs="Arial Narrow" w:eastAsia="Arial Narrow"/>
                <w:rtl w:val="0"/>
              </w:rPr>
              <w:t xml:space="preserve">Microgrid Fault Detection and Classification: Machine Learning Based Approach, Comparison,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Arial Narrow" w:cs="Arial Narrow" w:eastAsia="Arial Narrow" w:hAnsi="Arial Narrow"/>
              </w:rPr>
            </w:pPr>
            <w:r>
              <w:rPr>
                <w:rFonts w:ascii="Arial Narrow" w:hAnsi="Arial Narrow" w:cs="Arial Narrow" w:eastAsia="Arial Narrow"/>
                <w:rtl w:val="0"/>
              </w:rPr>
              <w:t xml:space="preserve">Shahriar Rahman Fahim; Subrata Kumar Sarker; S. M. Muyeen; Md. Rafiqul Islam Sheikh; Sajal K. Das (2020). https://doi.org/10.3390/en13133460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Arial Narrow" w:cs="Arial Narrow" w:eastAsia="Arial Narrow" w:hAnsi="Arial Narrow"/>
              </w:rPr>
            </w:pPr>
            <w:r>
              <w:rPr>
                <w:rFonts w:ascii="Arial Narrow" w:hAnsi="Arial Narrow" w:cs="Arial Narrow" w:eastAsia="Arial Narrow"/>
                <w:rtl w:val="0"/>
              </w:rPr>
              <w:t xml:space="preserve">The paper reviews microgrid fault-detection and classification methods and their limits, then outlines a wavelet and probabilistic model for shunt faults. The review side is the relevant part: island plants need a fault reading that is not thrown off by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Arial Narrow" w:cs="Arial Narrow" w:eastAsia="Arial Narrow" w:hAnsi="Arial Narrow"/>
              </w:rPr>
            </w:pPr>
            <w:r>
              <w:rPr>
                <w:rFonts w:ascii="Arial Narrow" w:hAnsi="Arial Narrow" w:cs="Arial Narrow" w:eastAsia="Arial Narrow"/>
                <w:rtl w:val="0"/>
              </w:rPr>
              <w:t xml:space="preserve">Advanced Diagnostic Techniques for Fault Detection and Maintenance in Diesel Generators: Integration of AI and Multimodal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Arial Narrow" w:cs="Arial Narrow" w:eastAsia="Arial Narrow" w:hAnsi="Arial Narrow"/>
              </w:rPr>
            </w:pPr>
            <w:r>
              <w:rPr>
                <w:rFonts w:ascii="Arial Narrow" w:hAnsi="Arial Narrow" w:cs="Arial Narrow" w:eastAsia="Arial Narrow"/>
                <w:rtl w:val="0"/>
              </w:rPr>
              <w:t xml:space="preserve">Mina Goodarzi; Abdollah Abbasi (2025). https://doi.org/10.1155/vib/6278046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Arial Narrow" w:cs="Arial Narrow" w:eastAsia="Arial Narrow" w:hAnsi="Arial Narrow"/>
              </w:rPr>
            </w:pPr>
            <w:r>
              <w:rPr>
                <w:rFonts w:ascii="Arial Narrow" w:hAnsi="Arial Narrow" w:cs="Arial Narrow" w:eastAsia="Arial Narrow"/>
                <w:rtl w:val="0"/>
              </w:rPr>
              <w:t xml:space="preserve">A review of diesel-generator faults and of diagnostic methods that combine vibration, sound, temperature, and exhaust sensing with machine-learning models. It compares model performance for predictive maintenance. It maps the fault types a genset study has to recognize, apart from a fuel-efficiency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Arial Narrow" w:cs="Arial Narrow" w:eastAsia="Arial Narrow" w:hAnsi="Arial Narrow"/>
              </w:rPr>
            </w:pPr>
            <w:r>
              <w:rPr>
                <w:rtl w:val="0"/>
              </w:rPr>
            </w:r>
          </w:p>
        </w:tc>
      </w:tr>
    </w:tbl>
    <w:p w:rsidR="00000000" w:rsidDel="00000000" w:rsidP="00000000" w:rsidRDefault="00000000" w:rsidRPr="00000000" w14:paraId="00000058">
      <w:pPr>
        <w:rPr>
          <w:rFonts w:ascii="Arial Narrow" w:cs="Arial Narrow" w:eastAsia="Arial Narrow" w:hAnsi="Arial Narrow"/>
        </w:rPr>
      </w:pPr>
      <w:r>
        <w:rPr>
          <w:rtl w:val="0"/>
        </w:rPr>
      </w:r>
    </w:p>
    <w:p w:rsidR="00000000" w:rsidDel="00000000" w:rsidP="00000000" w:rsidRDefault="00000000" w:rsidRPr="00000000" w14:paraId="00000059">
      <w:pPr>
        <w:rPr>
          <w:rFonts w:ascii="Arial Narrow" w:cs="Arial Narrow" w:eastAsia="Arial Narrow" w:hAnsi="Arial Narrow"/>
        </w:rPr>
      </w:pPr>
      <w:r>
        <w:rPr>
          <w:rtl w:val="0"/>
        </w:rPr>
      </w:r>
    </w:p>
    <w:p w:rsidR="00000000" w:rsidDel="00000000" w:rsidP="00000000" w:rsidRDefault="00000000" w:rsidRPr="00000000" w14:paraId="0000005A">
      <w:pPr>
        <w:rPr>
          <w:rFonts w:ascii="Arial Narrow" w:cs="Arial Narrow" w:eastAsia="Arial Narrow" w:hAnsi="Arial Narrow"/>
        </w:rPr>
      </w:pPr>
      <w:r>
        <w:rPr>
          <w:rtl w:val="0"/>
        </w:rPr>
      </w:r>
    </w:p>
    <w:p w:rsidR="00000000" w:rsidDel="00000000" w:rsidP="00000000" w:rsidRDefault="00000000" w:rsidRPr="00000000" w14:paraId="0000005B">
      <w:pPr>
        <w:rPr>
          <w:rFonts w:ascii="Arial Narrow" w:cs="Arial Narrow" w:eastAsia="Arial Narrow" w:hAnsi="Arial Narrow"/>
        </w:rPr>
      </w:pPr>
      <w:r>
        <w:rPr>
          <w:rtl w:val="0"/>
        </w:rPr>
      </w:r>
    </w:p>
    <w:p w:rsidR="00000000" w:rsidDel="00000000" w:rsidP="00000000" w:rsidRDefault="00000000" w:rsidRPr="00000000" w14:paraId="0000005C">
      <w:pPr>
        <w:rPr>
          <w:rFonts w:ascii="Arial Narrow" w:cs="Arial Narrow" w:eastAsia="Arial Narrow" w:hAnsi="Arial Narrow"/>
        </w:rPr>
      </w:pPr>
      <w:r>
        <w:rPr>
          <w:rtl w:val="0"/>
        </w:rPr>
      </w:r>
    </w:p>
    <w:p w:rsidR="00000000" w:rsidDel="00000000" w:rsidP="00000000" w:rsidRDefault="00000000" w:rsidRPr="00000000" w14:paraId="0000005D">
      <w:pPr>
        <w:rPr>
          <w:rFonts w:ascii="Arial Narrow" w:cs="Arial Narrow" w:eastAsia="Arial Narrow" w:hAnsi="Arial Narrow"/>
          <w:b w:val="1"/>
          <w:bCs w:val="1"/>
          <w:i w:val="1"/>
          <w:iCs w:val="1"/>
        </w:rPr>
      </w:pPr>
      <w:r>
        <w:rPr>
          <w:rFonts w:ascii="Arial Narrow" w:cs="Arial Narrow" w:eastAsia="Arial Narrow" w:hAnsi="Arial Narrow"/>
          <w:b w:val="1"/>
          <w:bCs w:val="1"/>
          <w:i w:val="1"/>
          <w:iCs w:val="1"/>
          <w:rtl w:val="0"/>
        </w:rPr>
        <w:t xml:space="preserve">Review of Related Studies</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gridCol w:w="2160"/>
        <w:tblGridChange w:id="0">
          <w:tblGrid>
            <w:gridCol w:w="2160"/>
            <w:gridCol w:w="2160"/>
            <w:gridCol w:w="2160"/>
            <w:gridCol w:w="2160"/>
            <w:gridCol w:w="2160"/>
            <w:gridCol w:w="2160"/>
          </w:tblGrid>
        </w:tblGridChange>
      </w:tblGrid>
      <w:tr>
        <w:trPr>
          <w:cantSplit w:val="0"/>
          <w:trHeight w:val="420" w:hRule="atLeast"/>
          <w:tblHeader w:val="0"/>
        </w:trPr>
        <w:tc>
          <w:tcPr>
            <w:gridSpan w:val="6"/>
            <w:shd w:fill="6aa84f"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Local Studies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Title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Author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Essential Points / Key Findings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Methodology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Participants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Arial Narrow" w:cs="Arial Narrow" w:eastAsia="Arial Narrow" w:hAnsi="Arial Narrow"/>
              </w:rPr>
            </w:pPr>
            <w:r>
              <w:rPr>
                <w:rFonts w:ascii="Arial Narrow" w:hAnsi="Arial Narrow" w:cs="Arial Narrow" w:eastAsia="Arial Narrow"/>
                <w:rtl w:val="0"/>
              </w:rPr>
              <w:t xml:space="preserve">Transition pathways to 100 % renewable energy in 208 island mini-grids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Arial Narrow" w:cs="Arial Narrow" w:eastAsia="Arial Narrow" w:hAnsi="Arial Narrow"/>
              </w:rPr>
            </w:pPr>
            <w:r>
              <w:rPr>
                <w:rFonts w:ascii="Arial Narrow" w:hAnsi="Arial Narrow" w:cs="Arial Narrow" w:eastAsia="Arial Narrow"/>
                <w:rtl w:val="0"/>
              </w:rPr>
              <w:t xml:space="preserve">Michael Tan Castro; Laurence L. Delina; Joey Duran Ocon (2024). https://doi.org/10.1016/j.esr.2024.101315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Arial Narrow" w:cs="Arial Narrow" w:eastAsia="Arial Narrow" w:hAnsi="Arial Narrow"/>
              </w:rPr>
            </w:pPr>
            <w:r>
              <w:rPr>
                <w:rFonts w:ascii="Arial Narrow" w:hAnsi="Arial Narrow" w:cs="Arial Narrow" w:eastAsia="Arial Narrow"/>
                <w:rtl w:val="0"/>
              </w:rPr>
              <w:t xml:space="preserve">The study collects generation and consumption data for 208 Philippine island mini-grids and simulates a path from the 2020 diesel-based system toward high renewable shares by 2050. Market-only change does not reach full renewable supply, and retiring every diesel unit at once raises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Arial Narrow" w:cs="Arial Narrow" w:eastAsia="Arial Narrow" w:hAnsi="Arial Narrow"/>
              </w:rPr>
            </w:pPr>
            <w:r>
              <w:rPr>
                <w:rFonts w:ascii="Arial Narrow" w:hAnsi="Arial Narrow" w:cs="Arial Narrow" w:eastAsia="Arial Narrow"/>
                <w:rtl w:val="0"/>
              </w:rPr>
              <w:t xml:space="preserve">Decentralized versus Clustered Microgrids: An Energy Systems Study for Reliable Off-Grid Electrification of Small 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Arial Narrow" w:cs="Arial Narrow" w:eastAsia="Arial Narrow" w:hAnsi="Arial Narrow"/>
              </w:rPr>
            </w:pPr>
            <w:r>
              <w:rPr>
                <w:rFonts w:ascii="Arial Narrow" w:hAnsi="Arial Narrow" w:cs="Arial Narrow" w:eastAsia="Arial Narrow"/>
                <w:rtl w:val="0"/>
              </w:rPr>
              <w:t xml:space="preserve">Olivia Francesca B. Agua; Robert Joseph A. Basilio; Mc Erschad D. Pabillan; Michael Tan Castro; Philipp Blechinger; Joey Duran Ocon (2020). https://doi.org/10.3390/en13174454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Arial Narrow" w:cs="Arial Narrow" w:eastAsia="Arial Narrow" w:hAnsi="Arial Narrow"/>
              </w:rPr>
            </w:pPr>
            <w:r>
              <w:rPr>
                <w:rFonts w:ascii="Arial Narrow" w:hAnsi="Arial Narrow" w:cs="Arial Narrow" w:eastAsia="Arial Narrow"/>
                <w:rtl w:val="0"/>
              </w:rPr>
              <w:t xml:space="preserve">Using HOMER Pro, the study compares standalone and interconnected hybrid microgrids of solar, batteries, and diesel for the Polillo islands. The starting point is diesel-only supply that is costly and stops when fuel deliveries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Arial Narrow" w:cs="Arial Narrow" w:eastAsia="Arial Narrow" w:hAnsi="Arial Narrow"/>
              </w:rPr>
            </w:pPr>
            <w:r>
              <w:rPr>
                <w:rFonts w:ascii="Arial Narrow" w:hAnsi="Arial Narrow" w:cs="Arial Narrow" w:eastAsia="Arial Narrow"/>
                <w:rtl w:val="0"/>
              </w:rPr>
              <w:t xml:space="preserve">Balancing Energy Trilemma Using Hybrid Distributed Rooftop Solar PV (DRSP)/Battery/Diesel Microgrid: A Case Study in Gilutongan Island, Cordova, Cebu,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Arial Narrow" w:cs="Arial Narrow" w:eastAsia="Arial Narrow" w:hAnsi="Arial Narrow"/>
              </w:rPr>
            </w:pPr>
            <w:r>
              <w:rPr>
                <w:rFonts w:ascii="Arial Narrow" w:hAnsi="Arial Narrow" w:cs="Arial Narrow" w:eastAsia="Arial Narrow"/>
                <w:rtl w:val="0"/>
              </w:rPr>
              <w:t xml:space="preserve">Jaybee Lacea; Edward M. Querikiol; Evelyn B. Taboada (2021). https://doi.org/10.3390/en14217358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Arial Narrow" w:cs="Arial Narrow" w:eastAsia="Arial Narrow" w:hAnsi="Arial Narrow"/>
              </w:rPr>
            </w:pPr>
            <w:r>
              <w:rPr>
                <w:rFonts w:ascii="Arial Narrow" w:hAnsi="Arial Narrow" w:cs="Arial Narrow" w:eastAsia="Arial Narrow"/>
                <w:rtl w:val="0"/>
              </w:rPr>
              <w:t xml:space="preserve">The study designs a rooftop-solar, battery, and diesel microgrid for 11 households on Gilutongan Island and scores reliability, cost, and emissions with PVSyst and HOMER Pro. Diesel stays in the design because the island has no open land for a larger solar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Arial Narrow" w:cs="Arial Narrow" w:eastAsia="Arial Narrow" w:hAnsi="Arial Narrow"/>
              </w:rPr>
            </w:pPr>
            <w:r>
              <w:rPr>
                <w:rFonts w:ascii="Arial Narrow" w:hAnsi="Arial Narrow" w:cs="Arial Narrow" w:eastAsia="Arial Narrow"/>
                <w:rtl w:val="0"/>
              </w:rPr>
              <w:t xml:space="preserve">Performance Analysis of a Hybrid Diesel – Renewable Energy (RE) Electrical System in Cuyo Island, Palawan,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Arial Narrow" w:cs="Arial Narrow" w:eastAsia="Arial Narrow" w:hAnsi="Arial Narrow"/>
              </w:rPr>
            </w:pPr>
            <w:r>
              <w:rPr>
                <w:rFonts w:ascii="Arial Narrow" w:hAnsi="Arial Narrow" w:cs="Arial Narrow" w:eastAsia="Arial Narrow"/>
                <w:rtl w:val="0"/>
              </w:rPr>
              <w:t xml:space="preserve">Jonathan C. Pacaldo; Michael Lochinvar S. Abundo; Luzvisminda M. Bellotindos; Carlito S. Baco Jr. (2022). https://doi.org/10.55057/ijarei.2022.4.1.1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Arial Narrow" w:cs="Arial Narrow" w:eastAsia="Arial Narrow" w:hAnsi="Arial Narrow"/>
              </w:rPr>
            </w:pPr>
            <w:r>
              <w:rPr>
                <w:rFonts w:ascii="Arial Narrow" w:hAnsi="Arial Narrow" w:cs="Arial Narrow" w:eastAsia="Arial Narrow"/>
                <w:rtl w:val="0"/>
              </w:rPr>
              <w:t xml:space="preserve">HOMER Pro is used to compare diesel and renewable hybrids for Cuyo Island, Palawan, on cost of energy, renewable share, and emissions. The preferred case reported in the study is a diesel-wind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Pr>
                <w:rFonts w:ascii="Arial Narrow" w:hAnsi="Arial Narrow" w:cs="Arial Narrow" w:eastAsia="Arial Narrow"/>
                <w:rtl w:val="0"/>
              </w:rPr>
              <w:t xml:space="preserve">The Viability of Providing 24-Hour Electricity Access to Off-Grid Island Communities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Pr>
                <w:rFonts w:ascii="Arial Narrow" w:hAnsi="Arial Narrow" w:cs="Arial Narrow" w:eastAsia="Arial Narrow"/>
                <w:rtl w:val="0"/>
              </w:rPr>
              <w:t xml:space="preserve">Lorafe Lozano; Edward M. Querikiol; Evelyn B. Taboada (2021). https://doi.org/10.3390/en14206797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Pr>
                <w:rFonts w:ascii="Arial Narrow" w:hAnsi="Arial Narrow" w:cs="Arial Narrow" w:eastAsia="Arial Narrow"/>
                <w:rtl w:val="0"/>
              </w:rPr>
              <w:t xml:space="preserve">The study tests whether 24-hour supply on Philippine off-grid islands is viable for both the operator and the households. It combines system design and cost with effects on consumers, instead of judging a design by equipment cost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Pr>
                <w:rtl w:val="0"/>
              </w:rPr>
            </w:r>
          </w:p>
        </w:tc>
      </w:tr>
    </w:tbl>
    <w:p w:rsidR="00000000" w:rsidDel="00000000" w:rsidP="00000000" w:rsidRDefault="00000000" w:rsidRPr="00000000" w14:paraId="00000088">
      <w:pPr>
        <w:rPr>
          <w:rFonts w:ascii="Arial Narrow" w:cs="Arial Narrow" w:eastAsia="Arial Narrow" w:hAnsi="Arial Narrow"/>
        </w:rPr>
      </w:pPr>
      <w:r>
        <w:rPr>
          <w:rtl w:val="0"/>
        </w:rPr>
      </w:r>
    </w:p>
    <w:p w:rsidR="00000000" w:rsidDel="00000000" w:rsidP="00000000" w:rsidRDefault="00000000" w:rsidRPr="00000000" w14:paraId="00000089">
      <w:pPr>
        <w:rPr>
          <w:rFonts w:ascii="Arial Narrow" w:cs="Arial Narrow" w:eastAsia="Arial Narrow" w:hAnsi="Arial Narrow"/>
        </w:rPr>
      </w:pPr>
      <w:r>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gridCol w:w="2160"/>
        <w:tblGridChange w:id="0">
          <w:tblGrid>
            <w:gridCol w:w="2160"/>
            <w:gridCol w:w="2160"/>
            <w:gridCol w:w="2160"/>
            <w:gridCol w:w="2160"/>
            <w:gridCol w:w="2160"/>
            <w:gridCol w:w="2160"/>
          </w:tblGrid>
        </w:tblGridChange>
      </w:tblGrid>
      <w:tr>
        <w:trPr>
          <w:cantSplit w:val="0"/>
          <w:trHeight w:val="420" w:hRule="atLeast"/>
          <w:tblHeader w:val="0"/>
        </w:trPr>
        <w:tc>
          <w:tcPr>
            <w:gridSpan w:val="6"/>
            <w:shd w:fill="6aa84f" w:val="clear"/>
            <w:tcMar>
              <w:top w:w="100.0" w:type="dxa"/>
              <w:left w:w="100.0" w:type="dxa"/>
              <w:bottom w:w="100.0" w:type="dxa"/>
              <w:right w:w="100.0" w:type="dxa"/>
            </w:tcMar>
            <w:vAlign w:val="top"/>
          </w:tcPr>
          <w:p w:rsidR="00000000" w:rsidDel="00000000" w:rsidP="00000000" w:rsidRDefault="00000000" w:rsidRPr="00000000" w14:paraId="0000008A">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Foreign Studies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Title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1">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Author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2">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Essential Points / Key Findings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3">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Methodology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Participants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Arial Narrow" w:cs="Arial Narrow" w:eastAsia="Arial Narrow" w:hAnsi="Arial Narrow"/>
                <w:b w:val="1"/>
                <w:bCs w:val="1"/>
              </w:rPr>
            </w:pPr>
            <w:r>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Pr>
                <w:rFonts w:ascii="Arial Narrow" w:hAnsi="Arial Narrow" w:cs="Arial Narrow" w:eastAsia="Arial Narrow"/>
                <w:rtl w:val="0"/>
              </w:rPr>
              <w:t xml:space="preserve">Hourly Power Consumption Forecasting Using RobustSTL and TCN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Pr>
                <w:rFonts w:ascii="Arial Narrow" w:hAnsi="Arial Narrow" w:cs="Arial Narrow" w:eastAsia="Arial Narrow"/>
                <w:rtl w:val="0"/>
              </w:rPr>
              <w:t xml:space="preserve">Chih-Hsueh Lin; Ulin Nuha; Guang-Zhi Lin; Tsair-Fwu Lee (2022). https://doi.org/10.3390/app12094331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rPr>
            </w:pPr>
            <w:r>
              <w:rPr>
                <w:rFonts w:ascii="Arial Narrow" w:hAnsi="Arial Narrow" w:cs="Arial Narrow" w:eastAsia="Arial Narrow"/>
                <w:rtl w:val="0"/>
              </w:rPr>
              <w:t xml:space="preserve">The study forecasts hourly power use by decomposing the series with RobustSTL, then feeding trend, season, and remainder into a temporal convolutional network. The series used have noise and shifting patterns. It is an empirical application of RobustSTL to an energy 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rPr>
            </w:pPr>
            <w:r>
              <w:rPr>
                <w:rFonts w:ascii="Arial Narrow" w:hAnsi="Arial Narrow" w:cs="Arial Narrow" w:eastAsia="Arial Narrow"/>
                <w:rtl w:val="0"/>
              </w:rPr>
              <w:t xml:space="preserve">Anomaly Detection Model of Power Grid Data Based on STL 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rPr>
            </w:pPr>
            <w:r>
              <w:rPr>
                <w:rFonts w:ascii="Arial Narrow" w:hAnsi="Arial Narrow" w:cs="Arial Narrow" w:eastAsia="Arial Narrow"/>
                <w:rtl w:val="0"/>
              </w:rPr>
              <w:t xml:space="preserve">Cuicui Zhang; Jiali Sun; Ruixuan Lu; Peng Wang (2021). https://doi.org/10.1109/itnec52019.2021.9587107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rPr>
            </w:pPr>
            <w:r>
              <w:rPr>
                <w:rFonts w:ascii="Arial Narrow" w:hAnsi="Arial Narrow" w:cs="Arial Narrow" w:eastAsia="Arial Narrow"/>
                <w:rtl w:val="0"/>
              </w:rPr>
              <w:t xml:space="preserve">Power-grid data-center series are stored for large-scale calculation, decomposed with STL, and the residual is tested for anomalies. Experiments are used to check that the residual test can flag abnormal grid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Arial Narrow" w:cs="Arial Narrow" w:eastAsia="Arial Narrow" w:hAnsi="Arial Narrow"/>
              </w:rPr>
            </w:pPr>
            <w:r>
              <w:rPr>
                <w:rFonts w:ascii="Arial Narrow" w:hAnsi="Arial Narrow" w:cs="Arial Narrow" w:eastAsia="Arial Narrow"/>
                <w:rtl w:val="0"/>
              </w:rPr>
              <w:t xml:space="preserve">Increasing the Efficiency of a Diesel-Generator Power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Arial Narrow" w:cs="Arial Narrow" w:eastAsia="Arial Narrow" w:hAnsi="Arial Narrow"/>
              </w:rPr>
            </w:pPr>
            <w:r>
              <w:rPr>
                <w:rFonts w:ascii="Arial Narrow" w:hAnsi="Arial Narrow" w:cs="Arial Narrow" w:eastAsia="Arial Narrow"/>
                <w:rtl w:val="0"/>
              </w:rPr>
              <w:t xml:space="preserve">Олег Станиславович Хватов; Dmitry Sergeevich Kobyakov (2020). https://doi.org/10.3103/s106837122012007x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Arial Narrow" w:cs="Arial Narrow" w:eastAsia="Arial Narrow" w:hAnsi="Arial Narrow"/>
              </w:rPr>
            </w:pPr>
            <w:r>
              <w:rPr>
                <w:rFonts w:ascii="Arial Narrow" w:hAnsi="Arial Narrow" w:cs="Arial Narrow" w:eastAsia="Arial Narrow"/>
                <w:rtl w:val="0"/>
              </w:rPr>
              <w:t xml:space="preserve">The study simulates a plant that pairs a conventional diesel-generator set with a variable-speed set, an active rectifier, an inverter, and buffer storage. MATLAB/Simulink runs show behavior when loads switch. The target is higher diesel-plant efficiency through the electrical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Arial Narrow" w:cs="Arial Narrow" w:eastAsia="Arial Narrow" w:hAnsi="Arial Narrow"/>
              </w:rPr>
            </w:pPr>
            <w:r>
              <w:rPr>
                <w:rFonts w:ascii="Arial Narrow" w:hAnsi="Arial Narrow" w:cs="Arial Narrow" w:eastAsia="Arial Narrow"/>
                <w:rtl w:val="0"/>
              </w:rPr>
              <w:t xml:space="preserve">Significant Increase in Fuel Efficiency of Diesel Generators with Lithium-Ion Batteries Documented by Economic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Arial Narrow" w:cs="Arial Narrow" w:eastAsia="Arial Narrow" w:hAnsi="Arial Narrow"/>
              </w:rPr>
            </w:pPr>
            <w:r>
              <w:rPr>
                <w:rFonts w:ascii="Arial Narrow" w:hAnsi="Arial Narrow" w:cs="Arial Narrow" w:eastAsia="Arial Narrow"/>
                <w:rtl w:val="0"/>
              </w:rPr>
              <w:t xml:space="preserve">Vedat Kıray; Mehmet Orhan; John Nwankwo Chijioke (2021). https://doi.org/10.3390/en14216904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Arial Narrow" w:cs="Arial Narrow" w:eastAsia="Arial Narrow" w:hAnsi="Arial Narrow"/>
              </w:rPr>
            </w:pPr>
            <w:r>
              <w:rPr>
                <w:rFonts w:ascii="Arial Narrow" w:hAnsi="Arial Narrow" w:cs="Arial Narrow" w:eastAsia="Arial Narrow"/>
                <w:rtl w:val="0"/>
              </w:rPr>
              <w:t xml:space="preserve">A MATLAB model of a 457 kW diesel generator is run with and without a lithium-ion battery, and fuel use is compared. The analysis looks for the operating conditions where the hybrid setup saves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Arial Narrow" w:cs="Arial Narrow" w:eastAsia="Arial Narrow" w:hAnsi="Arial Narrow"/>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Arial Narrow" w:cs="Arial Narrow" w:eastAsia="Arial Narrow" w:hAnsi="Arial Narrow"/>
              </w:rPr>
            </w:pPr>
            <w:r>
              <w:rPr>
                <w:rFonts w:ascii="Arial Narrow" w:hAnsi="Arial Narrow" w:cs="Arial Narrow" w:eastAsia="Arial Narrow"/>
                <w:rtl w:val="0"/>
              </w:rPr>
              <w:t xml:space="preserve">Comparing Outlier Detection Methods using Boxplot Generalized Extreme Studentized Deviate and Sequential Fences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Arial Narrow" w:cs="Arial Narrow" w:eastAsia="Arial Narrow" w:hAnsi="Arial Narrow"/>
              </w:rPr>
            </w:pPr>
            <w:r>
              <w:rPr>
                <w:rFonts w:ascii="Arial Narrow" w:hAnsi="Arial Narrow" w:cs="Arial Narrow" w:eastAsia="Arial Narrow"/>
                <w:rtl w:val="0"/>
              </w:rPr>
              <w:t xml:space="preserve">Anwar Fitrianto; Wan Zuki Azman Wan Muhamad; Suliana Kriswan; Budi Susetyo (2022). https://doi.org/10.13170/aijst.11.1.23809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Arial Narrow" w:cs="Arial Narrow" w:eastAsia="Arial Narrow" w:hAnsi="Arial Narrow"/>
              </w:rPr>
            </w:pPr>
            <w:r>
              <w:rPr>
                <w:rFonts w:ascii="Arial Narrow" w:hAnsi="Arial Narrow" w:cs="Arial Narrow" w:eastAsia="Arial Narrow"/>
                <w:rtl w:val="0"/>
              </w:rPr>
              <w:t xml:space="preserve">The study compares the boxplot rule, generalized ESD, and sequential fences on a published dataset after outliers are planted at the extremes. In that test, sequential fences found the planted outliers more successfully than generalized ESD.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Arial Narrow" w:cs="Arial Narrow" w:eastAsia="Arial Narrow" w:hAnsi="Arial Narrow"/>
              </w:rPr>
            </w:pPr>
            <w:r>
              <w:rPr>
                <w:rtl w:val="0"/>
              </w:rPr>
            </w:r>
          </w:p>
        </w:tc>
      </w:tr>
    </w:tbl>
    <w:p w:rsidR="00000000" w:rsidDel="00000000" w:rsidP="00000000" w:rsidRDefault="00000000" w:rsidRPr="00000000" w14:paraId="000000B4">
      <w:pPr>
        <w:rPr>
          <w:rFonts w:ascii="Arial Narrow" w:cs="Arial Narrow" w:eastAsia="Arial Narrow" w:hAnsi="Arial Narrow"/>
        </w:rPr>
      </w:pPr>
      <w:r>
        <w:rPr>
          <w:rtl w:val="0"/>
        </w:rPr>
      </w:r>
    </w:p>
    <w:p w:rsidR="00000000" w:rsidDel="00000000" w:rsidP="00000000" w:rsidRDefault="00000000" w:rsidRPr="00000000" w14:paraId="000000B5">
      <w:pPr>
        <w:rPr>
          <w:rFonts w:ascii="Arial Narrow" w:cs="Arial Narrow" w:eastAsia="Arial Narrow" w:hAnsi="Arial Narrow"/>
        </w:rPr>
      </w:pPr>
      <w:r>
        <w:rPr>
          <w:rtl w:val="0"/>
        </w:rPr>
      </w:r>
    </w:p>
    <w:p w:rsidR="00000000" w:rsidDel="00000000" w:rsidP="00000000" w:rsidRDefault="00000000" w:rsidRPr="00000000" w14:paraId="000000B6">
      <w:pPr>
        <w:rPr/>
      </w:pPr>
      <w:r>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078" w:hanging="358"/>
    </w:pPr>
    <w:rPr>
      <w:rFonts w:ascii="Trebuchet MS" w:cs="Trebuchet MS" w:eastAsia="Trebuchet MS" w:hAnsi="Trebuchet MS"/>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