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5931" w14:textId="77777777" w:rsidR="006225A6" w:rsidRPr="00FE09DC" w:rsidRDefault="006225A6" w:rsidP="006225A6">
      <w:pPr>
        <w:pStyle w:val="Textoindependiente2"/>
        <w:spacing w:line="360" w:lineRule="auto"/>
        <w:ind w:right="-93"/>
        <w:jc w:val="center"/>
        <w:rPr>
          <w:rFonts w:ascii="Arial" w:hAnsi="Arial" w:cs="Arial"/>
          <w:b/>
          <w:szCs w:val="24"/>
          <w:lang w:val="es-PE"/>
        </w:rPr>
      </w:pPr>
      <w:r w:rsidRPr="00FE09DC">
        <w:rPr>
          <w:rFonts w:ascii="Arial" w:hAnsi="Arial" w:cs="Arial"/>
          <w:b/>
          <w:szCs w:val="24"/>
          <w:lang w:val="es-PE"/>
        </w:rPr>
        <w:t>ANÁLISIS DEL ARTICULO CIENTIFICO_ ESTADO DEL ARTE</w:t>
      </w:r>
    </w:p>
    <w:p w14:paraId="2ECD5097" w14:textId="1EB306C0" w:rsidR="0013005A" w:rsidRDefault="006225A6" w:rsidP="0013005A">
      <w:pPr>
        <w:pBdr>
          <w:bottom w:val="single" w:sz="6" w:space="0" w:color="auto"/>
        </w:pBdr>
        <w:spacing w:after="0" w:line="360" w:lineRule="auto"/>
        <w:rPr>
          <w:rFonts w:ascii="Arial" w:hAnsi="Arial" w:cs="Arial"/>
          <w:sz w:val="24"/>
          <w:szCs w:val="24"/>
        </w:rPr>
      </w:pPr>
      <w:r w:rsidRPr="00FE09DC">
        <w:rPr>
          <w:rFonts w:ascii="Arial" w:hAnsi="Arial" w:cs="Arial"/>
          <w:b/>
          <w:sz w:val="24"/>
          <w:szCs w:val="24"/>
        </w:rPr>
        <w:t xml:space="preserve">Títle of paper: </w:t>
      </w:r>
      <w:r w:rsidR="00A36FBB" w:rsidRPr="00A36FBB">
        <w:rPr>
          <w:rFonts w:ascii="Arial" w:hAnsi="Arial" w:cs="Arial"/>
          <w:sz w:val="24"/>
          <w:szCs w:val="24"/>
        </w:rPr>
        <w:t>Internet de la logística perecedera: creación de redes inteligentes de cadena de suministro de alimentos frescos</w:t>
      </w:r>
      <w:r w:rsidR="00A36FBB">
        <w:rPr>
          <w:rFonts w:ascii="Arial" w:hAnsi="Arial" w:cs="Arial"/>
          <w:sz w:val="24"/>
          <w:szCs w:val="24"/>
        </w:rPr>
        <w:t>.</w:t>
      </w:r>
    </w:p>
    <w:p w14:paraId="5B0E0AF9" w14:textId="4B2C30B9" w:rsidR="006225A6" w:rsidRPr="0013005A" w:rsidRDefault="006225A6" w:rsidP="0013005A">
      <w:pPr>
        <w:pBdr>
          <w:bottom w:val="single" w:sz="6" w:space="0" w:color="auto"/>
        </w:pBdr>
        <w:spacing w:after="0" w:line="360" w:lineRule="auto"/>
        <w:rPr>
          <w:rFonts w:ascii="Arial" w:hAnsi="Arial" w:cs="Arial"/>
          <w:sz w:val="24"/>
          <w:szCs w:val="24"/>
        </w:rPr>
      </w:pPr>
      <w:r w:rsidRPr="00FE09DC">
        <w:rPr>
          <w:rFonts w:ascii="Arial" w:hAnsi="Arial" w:cs="Arial"/>
          <w:b/>
          <w:bCs/>
          <w:sz w:val="24"/>
          <w:szCs w:val="24"/>
          <w:lang w:val="en-US"/>
        </w:rPr>
        <w:t>Author:</w:t>
      </w:r>
      <w:r w:rsidRPr="00FE09DC">
        <w:rPr>
          <w:rFonts w:ascii="Arial" w:hAnsi="Arial" w:cs="Arial"/>
          <w:sz w:val="24"/>
          <w:szCs w:val="24"/>
          <w:lang w:val="en-US"/>
        </w:rPr>
        <w:t xml:space="preserve"> </w:t>
      </w:r>
      <w:r w:rsidR="00A36FBB" w:rsidRPr="00A36FBB">
        <w:rPr>
          <w:rFonts w:ascii="Arial" w:hAnsi="Arial" w:cs="Arial"/>
          <w:sz w:val="24"/>
          <w:szCs w:val="24"/>
          <w:lang w:val="en-US"/>
        </w:rPr>
        <w:t>Pal AKant K</w:t>
      </w:r>
      <w:r w:rsidRPr="002C1D82">
        <w:rPr>
          <w:rFonts w:ascii="Arial" w:hAnsi="Arial" w:cs="Arial"/>
          <w:sz w:val="24"/>
          <w:szCs w:val="24"/>
          <w:lang w:val="en-US"/>
        </w:rPr>
        <w:t>.</w:t>
      </w:r>
    </w:p>
    <w:p w14:paraId="44C7EC11" w14:textId="7AB1CC2F" w:rsidR="006225A6" w:rsidRPr="00FE09DC" w:rsidRDefault="006225A6" w:rsidP="006225A6">
      <w:pPr>
        <w:pBdr>
          <w:bottom w:val="single" w:sz="6" w:space="0" w:color="auto"/>
        </w:pBdr>
        <w:spacing w:after="0" w:line="360" w:lineRule="auto"/>
        <w:jc w:val="both"/>
        <w:rPr>
          <w:rFonts w:ascii="Arial" w:hAnsi="Arial" w:cs="Arial"/>
          <w:b/>
          <w:sz w:val="24"/>
          <w:szCs w:val="24"/>
          <w:lang w:val="en-US"/>
        </w:rPr>
      </w:pPr>
      <w:r w:rsidRPr="00FE09DC">
        <w:rPr>
          <w:rFonts w:ascii="Arial" w:hAnsi="Arial" w:cs="Arial"/>
          <w:b/>
          <w:sz w:val="24"/>
          <w:szCs w:val="24"/>
          <w:lang w:val="en-US"/>
        </w:rPr>
        <w:t>Journal:</w:t>
      </w:r>
      <w:r>
        <w:rPr>
          <w:rFonts w:ascii="Arial" w:hAnsi="Arial" w:cs="Arial"/>
          <w:b/>
          <w:sz w:val="24"/>
          <w:szCs w:val="24"/>
          <w:lang w:val="en-US"/>
        </w:rPr>
        <w:t xml:space="preserve"> </w:t>
      </w:r>
      <w:r w:rsidR="00A36FBB" w:rsidRPr="00A36FBB">
        <w:rPr>
          <w:rFonts w:ascii="Arial" w:hAnsi="Arial" w:cs="Arial"/>
          <w:bCs/>
          <w:sz w:val="24"/>
          <w:szCs w:val="24"/>
          <w:lang w:val="en-US"/>
        </w:rPr>
        <w:t>IEEE Access</w:t>
      </w:r>
      <w:r w:rsidRPr="006225A6">
        <w:rPr>
          <w:rFonts w:ascii="Arial" w:hAnsi="Arial" w:cs="Arial"/>
          <w:bCs/>
          <w:sz w:val="24"/>
          <w:szCs w:val="24"/>
          <w:lang w:val="en-US"/>
        </w:rPr>
        <w:t>.</w:t>
      </w:r>
    </w:p>
    <w:p w14:paraId="44B81A72" w14:textId="2E1D1D74" w:rsidR="006225A6" w:rsidRPr="00FE09DC" w:rsidRDefault="006225A6" w:rsidP="006225A6">
      <w:pPr>
        <w:pBdr>
          <w:bottom w:val="single" w:sz="6" w:space="0" w:color="auto"/>
        </w:pBdr>
        <w:spacing w:after="0" w:line="360" w:lineRule="auto"/>
        <w:jc w:val="both"/>
        <w:rPr>
          <w:rFonts w:ascii="Arial" w:hAnsi="Arial" w:cs="Arial"/>
          <w:sz w:val="24"/>
          <w:szCs w:val="24"/>
        </w:rPr>
      </w:pPr>
      <w:r w:rsidRPr="00FE09DC">
        <w:rPr>
          <w:rFonts w:ascii="Arial" w:hAnsi="Arial" w:cs="Arial"/>
          <w:b/>
          <w:sz w:val="24"/>
          <w:szCs w:val="24"/>
        </w:rPr>
        <w:t xml:space="preserve">Fecha de publicación: </w:t>
      </w:r>
      <w:r w:rsidRPr="00FE09DC">
        <w:rPr>
          <w:rFonts w:ascii="Arial" w:hAnsi="Arial" w:cs="Arial"/>
          <w:bCs/>
          <w:sz w:val="24"/>
          <w:szCs w:val="24"/>
        </w:rPr>
        <w:t>20</w:t>
      </w:r>
      <w:r w:rsidR="00A36FBB">
        <w:rPr>
          <w:rFonts w:ascii="Arial" w:hAnsi="Arial" w:cs="Arial"/>
          <w:bCs/>
          <w:sz w:val="24"/>
          <w:szCs w:val="24"/>
        </w:rPr>
        <w:t>19</w:t>
      </w:r>
      <w:r w:rsidRPr="00FE09DC">
        <w:rPr>
          <w:rFonts w:ascii="Arial" w:hAnsi="Arial" w:cs="Arial"/>
          <w:b/>
          <w:sz w:val="24"/>
          <w:szCs w:val="24"/>
        </w:rPr>
        <w:t xml:space="preserve">                                            Nivel del Quartil: </w:t>
      </w:r>
      <w:r w:rsidRPr="00FE09DC">
        <w:rPr>
          <w:rFonts w:ascii="Arial" w:hAnsi="Arial" w:cs="Arial"/>
          <w:bCs/>
          <w:sz w:val="24"/>
          <w:szCs w:val="24"/>
        </w:rPr>
        <w:t>Q</w:t>
      </w:r>
      <w:r w:rsidR="0013005A">
        <w:rPr>
          <w:rFonts w:ascii="Arial" w:hAnsi="Arial" w:cs="Arial"/>
          <w:bCs/>
          <w:sz w:val="24"/>
          <w:szCs w:val="24"/>
        </w:rPr>
        <w:t>1</w:t>
      </w:r>
    </w:p>
    <w:p w14:paraId="65DB722F" w14:textId="77777777" w:rsidR="006225A6" w:rsidRPr="00FE09DC" w:rsidRDefault="006225A6" w:rsidP="006225A6">
      <w:pPr>
        <w:pBdr>
          <w:bottom w:val="single" w:sz="6" w:space="0" w:color="auto"/>
        </w:pBdr>
        <w:spacing w:after="0" w:line="360" w:lineRule="auto"/>
        <w:jc w:val="both"/>
        <w:rPr>
          <w:rFonts w:ascii="Arial" w:hAnsi="Arial" w:cs="Arial"/>
          <w:sz w:val="24"/>
          <w:szCs w:val="24"/>
        </w:rPr>
      </w:pPr>
      <w:r w:rsidRPr="00FE09DC">
        <w:rPr>
          <w:rFonts w:ascii="Arial" w:hAnsi="Arial" w:cs="Arial"/>
          <w:b/>
          <w:sz w:val="24"/>
          <w:szCs w:val="24"/>
        </w:rPr>
        <w:t xml:space="preserve">Tipo de documento: </w:t>
      </w:r>
      <w:r w:rsidRPr="00FE09DC">
        <w:rPr>
          <w:rFonts w:ascii="Arial" w:hAnsi="Arial" w:cs="Arial"/>
          <w:bCs/>
          <w:sz w:val="24"/>
          <w:szCs w:val="24"/>
        </w:rPr>
        <w:t>Artículo</w:t>
      </w:r>
    </w:p>
    <w:p w14:paraId="2EB86F0F" w14:textId="77777777" w:rsidR="006225A6" w:rsidRPr="00FE09DC" w:rsidRDefault="006225A6" w:rsidP="006225A6">
      <w:pPr>
        <w:spacing w:line="360" w:lineRule="auto"/>
        <w:rPr>
          <w:rFonts w:ascii="Arial" w:hAnsi="Arial" w:cs="Arial"/>
          <w:b/>
          <w:sz w:val="24"/>
          <w:szCs w:val="24"/>
        </w:rPr>
      </w:pPr>
    </w:p>
    <w:p w14:paraId="74896132" w14:textId="77777777" w:rsidR="006225A6" w:rsidRPr="00FE09DC" w:rsidRDefault="006225A6" w:rsidP="006225A6">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Problema</w:t>
      </w:r>
      <w:r w:rsidRPr="00FE09DC">
        <w:rPr>
          <w:rFonts w:ascii="Arial" w:hAnsi="Arial" w:cs="Arial"/>
          <w:b/>
          <w:szCs w:val="24"/>
        </w:rPr>
        <w:t xml:space="preserve"> que el autor del artículo científico desea resolver </w:t>
      </w:r>
    </w:p>
    <w:p w14:paraId="46C30899" w14:textId="067F22A8" w:rsidR="0069683F" w:rsidRDefault="00297874" w:rsidP="00994DE8">
      <w:pPr>
        <w:pStyle w:val="Textoindependiente2"/>
        <w:spacing w:line="360" w:lineRule="auto"/>
        <w:jc w:val="both"/>
        <w:rPr>
          <w:rFonts w:ascii="Arial" w:hAnsi="Arial" w:cs="Arial"/>
          <w:szCs w:val="24"/>
        </w:rPr>
      </w:pPr>
      <w:r w:rsidRPr="00FE09DC">
        <w:rPr>
          <w:rFonts w:ascii="Arial" w:hAnsi="Arial" w:cs="Arial"/>
          <w:szCs w:val="24"/>
        </w:rPr>
        <w:t>El autor desea solucionar</w:t>
      </w:r>
      <w:r w:rsidR="0069683F">
        <w:rPr>
          <w:rFonts w:ascii="Arial" w:hAnsi="Arial" w:cs="Arial"/>
          <w:szCs w:val="24"/>
        </w:rPr>
        <w:t xml:space="preserve"> el alto nivel de complejidad y análisis en las redes logísticas en la cadena de suministros de alimentos perecederos. </w:t>
      </w:r>
    </w:p>
    <w:p w14:paraId="472DFD4F" w14:textId="77777777" w:rsidR="006225A6" w:rsidRPr="00FE09DC" w:rsidRDefault="006225A6" w:rsidP="006225A6">
      <w:pPr>
        <w:pStyle w:val="Textoindependiente2"/>
        <w:spacing w:line="360" w:lineRule="auto"/>
        <w:jc w:val="both"/>
        <w:rPr>
          <w:rFonts w:ascii="Arial" w:hAnsi="Arial" w:cs="Arial"/>
          <w:szCs w:val="24"/>
        </w:rPr>
      </w:pPr>
      <w:r w:rsidRPr="00FE09DC">
        <w:rPr>
          <w:rFonts w:ascii="Arial" w:hAnsi="Arial" w:cs="Arial"/>
          <w:szCs w:val="24"/>
        </w:rPr>
        <w:t xml:space="preserve">  </w:t>
      </w:r>
    </w:p>
    <w:p w14:paraId="4A5B8AC7" w14:textId="77777777" w:rsidR="006225A6" w:rsidRPr="00FE09DC" w:rsidRDefault="006225A6" w:rsidP="006225A6">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Importancia</w:t>
      </w:r>
      <w:r w:rsidRPr="00FE09DC">
        <w:rPr>
          <w:rFonts w:ascii="Arial" w:hAnsi="Arial" w:cs="Arial"/>
          <w:b/>
          <w:szCs w:val="24"/>
        </w:rPr>
        <w:t xml:space="preserve"> del problema</w:t>
      </w:r>
    </w:p>
    <w:p w14:paraId="34E7CE48" w14:textId="40AE89AC" w:rsidR="006225A6" w:rsidRDefault="0010446B" w:rsidP="006225A6">
      <w:pPr>
        <w:pStyle w:val="Textoindependiente2"/>
        <w:spacing w:line="360" w:lineRule="auto"/>
        <w:jc w:val="both"/>
        <w:rPr>
          <w:rFonts w:ascii="Arial" w:hAnsi="Arial" w:cs="Arial"/>
          <w:szCs w:val="24"/>
        </w:rPr>
      </w:pPr>
      <w:r>
        <w:rPr>
          <w:rFonts w:ascii="Arial" w:hAnsi="Arial" w:cs="Arial"/>
          <w:szCs w:val="24"/>
        </w:rPr>
        <w:t>Estandarizar y sistematizar las operaciones de logística en general logrando una eficiente integración de la tecnología de la información en las redes logísticas desarrollando la noción de internet de logística perecedera.</w:t>
      </w:r>
    </w:p>
    <w:p w14:paraId="3BE17FC4" w14:textId="77777777" w:rsidR="006225A6" w:rsidRPr="00FE09DC" w:rsidRDefault="006225A6" w:rsidP="006225A6">
      <w:pPr>
        <w:pStyle w:val="Textoindependiente2"/>
        <w:spacing w:line="360" w:lineRule="auto"/>
        <w:jc w:val="both"/>
        <w:rPr>
          <w:rFonts w:ascii="Arial" w:hAnsi="Arial" w:cs="Arial"/>
          <w:szCs w:val="24"/>
        </w:rPr>
      </w:pPr>
      <w:r w:rsidRPr="00FE09DC">
        <w:rPr>
          <w:rFonts w:ascii="Arial" w:hAnsi="Arial" w:cs="Arial"/>
          <w:szCs w:val="24"/>
        </w:rPr>
        <w:t xml:space="preserve">                                                              </w:t>
      </w:r>
    </w:p>
    <w:p w14:paraId="26CF6C9C" w14:textId="03FA184B" w:rsidR="00297874" w:rsidRPr="00297874" w:rsidRDefault="006225A6" w:rsidP="00297874">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Motivación</w:t>
      </w:r>
      <w:r w:rsidRPr="00FE09DC">
        <w:rPr>
          <w:rFonts w:ascii="Arial" w:hAnsi="Arial" w:cs="Arial"/>
          <w:b/>
          <w:szCs w:val="24"/>
        </w:rPr>
        <w:t xml:space="preserve"> del autor</w:t>
      </w:r>
    </w:p>
    <w:p w14:paraId="2B3F1680" w14:textId="481E2A8F" w:rsidR="00297874" w:rsidRPr="00FE09DC" w:rsidRDefault="0069683F" w:rsidP="006225A6">
      <w:pPr>
        <w:pStyle w:val="Textoindependiente2"/>
        <w:spacing w:line="360" w:lineRule="auto"/>
        <w:jc w:val="both"/>
        <w:rPr>
          <w:rFonts w:ascii="Arial" w:hAnsi="Arial" w:cs="Arial"/>
          <w:bCs/>
          <w:szCs w:val="24"/>
        </w:rPr>
      </w:pPr>
      <w:r>
        <w:rPr>
          <w:rFonts w:ascii="Arial" w:hAnsi="Arial" w:cs="Arial"/>
          <w:bCs/>
          <w:szCs w:val="24"/>
        </w:rPr>
        <w:t xml:space="preserve">Inspirar e involucrar a los investigadores para examinar de manera integral los numerosos problemas involucrados en convertir los sistemas logísticos en sistemas ciber físicos altamente agiles y eficientes. </w:t>
      </w:r>
    </w:p>
    <w:p w14:paraId="2804F532" w14:textId="77777777" w:rsidR="006225A6" w:rsidRPr="00FE09DC" w:rsidRDefault="006225A6" w:rsidP="006225A6">
      <w:pPr>
        <w:pStyle w:val="Textoindependiente2"/>
        <w:spacing w:line="360" w:lineRule="auto"/>
        <w:jc w:val="both"/>
        <w:rPr>
          <w:rFonts w:ascii="Arial" w:hAnsi="Arial" w:cs="Arial"/>
          <w:bCs/>
          <w:szCs w:val="24"/>
        </w:rPr>
      </w:pPr>
    </w:p>
    <w:p w14:paraId="613F485E" w14:textId="77777777" w:rsidR="006225A6" w:rsidRPr="00FE09DC" w:rsidRDefault="006225A6" w:rsidP="006225A6">
      <w:pPr>
        <w:pStyle w:val="Textoindependiente2"/>
        <w:spacing w:line="360" w:lineRule="auto"/>
        <w:jc w:val="both"/>
        <w:rPr>
          <w:rFonts w:ascii="Arial" w:hAnsi="Arial" w:cs="Arial"/>
          <w:b/>
          <w:szCs w:val="24"/>
        </w:rPr>
      </w:pPr>
    </w:p>
    <w:p w14:paraId="53C829BF" w14:textId="77777777" w:rsidR="006225A6" w:rsidRDefault="006225A6" w:rsidP="006225A6">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Estado del arte</w:t>
      </w:r>
      <w:r w:rsidRPr="00FE09DC">
        <w:rPr>
          <w:rFonts w:ascii="Arial" w:hAnsi="Arial" w:cs="Arial"/>
          <w:b/>
          <w:szCs w:val="24"/>
        </w:rPr>
        <w:t xml:space="preserve"> que hace el autor</w:t>
      </w:r>
    </w:p>
    <w:p w14:paraId="4598339B" w14:textId="375A64F5" w:rsidR="006225A6" w:rsidRDefault="006225A6" w:rsidP="00175D6F">
      <w:pPr>
        <w:pStyle w:val="Textoindependiente2"/>
        <w:spacing w:line="360" w:lineRule="auto"/>
        <w:jc w:val="both"/>
        <w:rPr>
          <w:rFonts w:ascii="Arial" w:hAnsi="Arial" w:cs="Arial"/>
          <w:bCs/>
          <w:szCs w:val="24"/>
        </w:rPr>
      </w:pPr>
      <w:r w:rsidRPr="0053403E">
        <w:rPr>
          <w:rFonts w:ascii="Arial" w:hAnsi="Arial" w:cs="Arial"/>
          <w:bCs/>
          <w:szCs w:val="24"/>
        </w:rPr>
        <w:t xml:space="preserve">En el primer estado del arte </w:t>
      </w:r>
      <w:r w:rsidR="00BD6B0F">
        <w:rPr>
          <w:rFonts w:ascii="Arial" w:hAnsi="Arial" w:cs="Arial"/>
          <w:bCs/>
          <w:szCs w:val="24"/>
        </w:rPr>
        <w:t>que realiza el autor es sobre “</w:t>
      </w:r>
      <w:r w:rsidR="00175D6F" w:rsidRPr="00175D6F">
        <w:rPr>
          <w:rFonts w:ascii="Arial" w:hAnsi="Arial" w:cs="Arial"/>
          <w:bCs/>
          <w:szCs w:val="24"/>
        </w:rPr>
        <w:t>Managing Perishable and Aging Inventories:</w:t>
      </w:r>
      <w:r w:rsidR="00175D6F">
        <w:rPr>
          <w:rFonts w:ascii="Arial" w:hAnsi="Arial" w:cs="Arial"/>
          <w:bCs/>
          <w:szCs w:val="24"/>
        </w:rPr>
        <w:t xml:space="preserve"> </w:t>
      </w:r>
      <w:r w:rsidR="00175D6F" w:rsidRPr="00175D6F">
        <w:rPr>
          <w:rFonts w:ascii="Arial" w:hAnsi="Arial" w:cs="Arial"/>
          <w:bCs/>
          <w:szCs w:val="24"/>
        </w:rPr>
        <w:t>Review and Future Research Directions</w:t>
      </w:r>
      <w:r w:rsidR="00BD6B0F">
        <w:rPr>
          <w:rFonts w:ascii="Arial" w:hAnsi="Arial" w:cs="Arial"/>
          <w:bCs/>
          <w:szCs w:val="24"/>
        </w:rPr>
        <w:t xml:space="preserve">”, aquí el autor menciona que en el articulo se realiza </w:t>
      </w:r>
      <w:r w:rsidR="00175D6F">
        <w:rPr>
          <w:rFonts w:ascii="Arial" w:hAnsi="Arial" w:cs="Arial"/>
          <w:bCs/>
          <w:szCs w:val="24"/>
        </w:rPr>
        <w:t xml:space="preserve">una revisión de la investigación sobre la gestión de inventarios de productos perecederos. Dando como resultado el cuestionamiento de prácticas como decisiones de combinación de productos y gestión de inventarios de productos perecederos múltiples </w:t>
      </w:r>
      <w:r w:rsidR="00175D6F">
        <w:rPr>
          <w:rFonts w:ascii="Arial" w:hAnsi="Arial" w:cs="Arial"/>
          <w:bCs/>
          <w:szCs w:val="24"/>
        </w:rPr>
        <w:fldChar w:fldCharType="begin" w:fldLock="1"/>
      </w:r>
      <w:r w:rsidR="00A24A7E">
        <w:rPr>
          <w:rFonts w:ascii="Arial" w:hAnsi="Arial" w:cs="Arial"/>
          <w:bCs/>
          <w:szCs w:val="24"/>
        </w:rPr>
        <w:instrText>ADDIN CSL_CITATION {"citationItems":[{"id":"ITEM-1","itemData":{"DOI":"10.1007/978-1-4419-6485-4","ISBN":"978-1-4419-6484-7","ISSN":"1098-6596","PMID":"25246403","abstract":"Over the years, several companies have emerged as exemplary of “best practices” in supply chain management; for example, Wal-Mart is frequently cited as using unique strategies to lead its market. One significant challenge for Wal-Mart is managing inventories of products that frequently outdate : A significant portion of Wal-Mart’s product portfolio consists of perishable products such as food items (varying from fresh produce to dairy to bakery products), pharmaceuticals (e.g., drugs, vitamins, cosmetics), chemicals (e.g., household cleaning products), and cut flowers. Wal-Mart’s supply chain is not alone in its exposure to outdating risks – to better appreciate the impact of perishability and outdating in society at large, consider these figures: In a 2003 survey, overall unsalable costs at distributors to supermarkets and drug stores in consumer packaged goods alone were estimated at $2.57 billion, and 22% of these costs, over 500 million dollars, were due to expiration in only the branded segment (Grocery Manufacturers of America 2004). In the produce sector, the $1.7 billion US apple industry is estimated to lose $300 million annually to spoilage (Webb 2006). Note also that perishability and outdating are a concern not only for these consumer goods, but for industrial products (for instance, Chen (2006), mentions that adhesive materials used for plywood lose strength within 7 days of production), military ordnance, and blood – one of the most critical resources in health care supply chains. According to a nationwide survey on blood collection and utilization, 5.8% of all components of blood processed for transfusion were outdated in 2004 in the USA (AABB 2005).","author":[{"dropping-particle":"","family":"Karaesmen","given":"Itir Z","non-dropping-particle":"","parse-names":false,"suffix":""},{"dropping-particle":"","family":"Scheller–Wolf","given":"Alan","non-dropping-particle":"","parse-names":false,"suffix":""},{"dropping-particle":"","family":"Deniz","given":"Borga C1 - Karaesmen1","non-dropping-particle":"","parse-names":false,"suffix":""}],"container-title":"Planning Production and Inventories in the Extended Enterprise","id":"ITEM-1","issued":{"date-parts":[["2011"]]},"number-of-pages":"393-436","title":"Planning Production and Inventories in the Extended Enterprise","type":"book","volume":"151"},"uris":["http://www.mendeley.com/documents/?uuid=c07457d8-6722-401d-b279-bceb63aba819"]}],"mendeley":{"formattedCitation":"(Karaesmen et al., 2011)","plainTextFormattedCitation":"(Karaesmen et al., 2011)","previouslyFormattedCitation":"(Karaesmen et al., 2011)"},"properties":{"noteIndex":0},"schema":"https://github.com/citation-style-language/schema/raw/master/csl-citation.json"}</w:instrText>
      </w:r>
      <w:r w:rsidR="00175D6F">
        <w:rPr>
          <w:rFonts w:ascii="Arial" w:hAnsi="Arial" w:cs="Arial"/>
          <w:bCs/>
          <w:szCs w:val="24"/>
        </w:rPr>
        <w:fldChar w:fldCharType="separate"/>
      </w:r>
      <w:r w:rsidR="00175D6F" w:rsidRPr="00175D6F">
        <w:rPr>
          <w:rFonts w:ascii="Arial" w:hAnsi="Arial" w:cs="Arial"/>
          <w:bCs/>
          <w:noProof/>
          <w:szCs w:val="24"/>
        </w:rPr>
        <w:t>(Karaesmen et al., 2011)</w:t>
      </w:r>
      <w:r w:rsidR="00175D6F">
        <w:rPr>
          <w:rFonts w:ascii="Arial" w:hAnsi="Arial" w:cs="Arial"/>
          <w:bCs/>
          <w:szCs w:val="24"/>
        </w:rPr>
        <w:fldChar w:fldCharType="end"/>
      </w:r>
      <w:r w:rsidR="00175D6F">
        <w:rPr>
          <w:rFonts w:ascii="Arial" w:hAnsi="Arial" w:cs="Arial"/>
          <w:bCs/>
          <w:szCs w:val="24"/>
        </w:rPr>
        <w:t>.</w:t>
      </w:r>
    </w:p>
    <w:p w14:paraId="73C76538" w14:textId="43830EA7" w:rsidR="000611C4" w:rsidRDefault="000611C4" w:rsidP="006225A6">
      <w:pPr>
        <w:pStyle w:val="Textoindependiente2"/>
        <w:spacing w:line="360" w:lineRule="auto"/>
        <w:jc w:val="both"/>
        <w:rPr>
          <w:rFonts w:ascii="Arial" w:hAnsi="Arial" w:cs="Arial"/>
          <w:bCs/>
          <w:szCs w:val="24"/>
        </w:rPr>
      </w:pPr>
    </w:p>
    <w:p w14:paraId="15D5F982" w14:textId="77777777" w:rsidR="000611C4" w:rsidRPr="000611C4" w:rsidRDefault="000611C4" w:rsidP="006225A6">
      <w:pPr>
        <w:pStyle w:val="Textoindependiente2"/>
        <w:spacing w:line="360" w:lineRule="auto"/>
        <w:jc w:val="both"/>
        <w:rPr>
          <w:rFonts w:ascii="Arial" w:hAnsi="Arial" w:cs="Arial"/>
          <w:bCs/>
          <w:szCs w:val="24"/>
        </w:rPr>
      </w:pPr>
    </w:p>
    <w:p w14:paraId="71702B58" w14:textId="12590FA7" w:rsidR="00D97F5D" w:rsidRDefault="006225A6" w:rsidP="00A24A7E">
      <w:pPr>
        <w:pStyle w:val="Textoindependiente2"/>
        <w:spacing w:line="360" w:lineRule="auto"/>
        <w:jc w:val="both"/>
        <w:rPr>
          <w:rFonts w:ascii="Arial" w:hAnsi="Arial" w:cs="Arial"/>
          <w:bCs/>
          <w:szCs w:val="24"/>
        </w:rPr>
      </w:pPr>
      <w:r w:rsidRPr="006406FC">
        <w:rPr>
          <w:rFonts w:ascii="Arial" w:hAnsi="Arial" w:cs="Arial"/>
          <w:bCs/>
          <w:szCs w:val="24"/>
        </w:rPr>
        <w:lastRenderedPageBreak/>
        <w:t>En el segundo estado de arte que realiza el autor es sobre “</w:t>
      </w:r>
      <w:r w:rsidR="00A24A7E" w:rsidRPr="00A24A7E">
        <w:rPr>
          <w:rFonts w:ascii="Arial" w:hAnsi="Arial" w:cs="Arial"/>
          <w:bCs/>
          <w:szCs w:val="24"/>
        </w:rPr>
        <w:t>A survey of applications and requirements of unique identification systems</w:t>
      </w:r>
      <w:r w:rsidR="00A24A7E">
        <w:rPr>
          <w:rFonts w:ascii="Arial" w:hAnsi="Arial" w:cs="Arial"/>
          <w:bCs/>
          <w:szCs w:val="24"/>
        </w:rPr>
        <w:t xml:space="preserve"> </w:t>
      </w:r>
      <w:r w:rsidR="00A24A7E" w:rsidRPr="00A24A7E">
        <w:rPr>
          <w:rFonts w:ascii="Arial" w:hAnsi="Arial" w:cs="Arial"/>
          <w:bCs/>
          <w:szCs w:val="24"/>
        </w:rPr>
        <w:t>and RFID techniques</w:t>
      </w:r>
      <w:r w:rsidRPr="006406FC">
        <w:rPr>
          <w:rFonts w:ascii="Arial" w:hAnsi="Arial" w:cs="Arial"/>
          <w:bCs/>
          <w:szCs w:val="24"/>
        </w:rPr>
        <w:t xml:space="preserve">”, aquí el autor menciona que en el artículo se realiza </w:t>
      </w:r>
      <w:r w:rsidR="00A24A7E">
        <w:rPr>
          <w:rFonts w:ascii="Arial" w:hAnsi="Arial" w:cs="Arial"/>
          <w:bCs/>
          <w:szCs w:val="24"/>
        </w:rPr>
        <w:t xml:space="preserve">una descripción general de los problemas de identificación de radiofrecuencia que están disponibles hasta el momento o que estarán en el corto plazo. En donde se ve un requisito fundamental para una logística eficiente que es la automatización de operaciones; precisamente para el estudio a realizar, que vendría a ser en la cadena de suministros proporcionada por la estandarización en etiquetado RFID </w:t>
      </w:r>
      <w:r w:rsidR="00A24A7E">
        <w:rPr>
          <w:rFonts w:ascii="Arial" w:hAnsi="Arial" w:cs="Arial"/>
          <w:bCs/>
          <w:szCs w:val="24"/>
        </w:rPr>
        <w:fldChar w:fldCharType="begin" w:fldLock="1"/>
      </w:r>
      <w:r w:rsidR="00A772BA">
        <w:rPr>
          <w:rFonts w:ascii="Arial" w:hAnsi="Arial" w:cs="Arial"/>
          <w:bCs/>
          <w:szCs w:val="24"/>
        </w:rPr>
        <w:instrText>ADDIN CSL_CITATION {"citationItems":[{"id":"ITEM-1","itemData":{"DOI":"10.1016/j.compind.2010.10.004","ISSN":"01663615","abstract":"The paper contains an overview of unique identification issues and of the various radio frequency identification techniques that are available now or will become available in the short term. The paper also compares RFID with traditional ID technologies. It shows application possibilities and gives examples of current implementations. Each application has its own requirements that translate into specific RFID-techniques, -options and -parameters. Techniques include frequency range, tag energy supply and tag writing capabilities. The data to be stored in the tag and transferred to the reader must be selected as one of the options. Parameters influence reliability and confidentiality, among other things. Information interchange issues of identifier-based operations in supply-chains are discussed as well, while the last part of the paper presents a framework for choosing an auto-ID technique in a supply chain. © 2010 Elsevier B.V. All rights reserved.","author":[{"dropping-particle":"","family":"Ilie-Zudor","given":"Elisabeth","non-dropping-particle":"","parse-names":false,"suffix":""},{"dropping-particle":"","family":"Kemény","given":"Zsolt","non-dropping-particle":"","parse-names":false,"suffix":""},{"dropping-particle":"","family":"Blommestein","given":"Fred","non-dropping-particle":"Van","parse-names":false,"suffix":""},{"dropping-particle":"","family":"Monostori","given":"László","non-dropping-particle":"","parse-names":false,"suffix":""},{"dropping-particle":"","family":"Meulen","given":"André","non-dropping-particle":"Van Der","parse-names":false,"suffix":""}],"container-title":"Computers in Industry","id":"ITEM-1","issue":"3","issued":{"date-parts":[["2011"]]},"page":"227-252","title":"A survey of applications and requirements of unique identification systems and RFID techniques","type":"article-journal","volume":"62"},"uris":["http://www.mendeley.com/documents/?uuid=376ba4a9-a84e-4fca-9b79-0e1c573cad38"]}],"mendeley":{"formattedCitation":"(Ilie-Zudor et al., 2011)","plainTextFormattedCitation":"(Ilie-Zudor et al., 2011)","previouslyFormattedCitation":"(Ilie-Zudor et al., 2011)"},"properties":{"noteIndex":0},"schema":"https://github.com/citation-style-language/schema/raw/master/csl-citation.json"}</w:instrText>
      </w:r>
      <w:r w:rsidR="00A24A7E">
        <w:rPr>
          <w:rFonts w:ascii="Arial" w:hAnsi="Arial" w:cs="Arial"/>
          <w:bCs/>
          <w:szCs w:val="24"/>
        </w:rPr>
        <w:fldChar w:fldCharType="separate"/>
      </w:r>
      <w:r w:rsidR="00A24A7E" w:rsidRPr="00A24A7E">
        <w:rPr>
          <w:rFonts w:ascii="Arial" w:hAnsi="Arial" w:cs="Arial"/>
          <w:bCs/>
          <w:noProof/>
          <w:szCs w:val="24"/>
        </w:rPr>
        <w:t>(Ilie-Zudor et al., 2011)</w:t>
      </w:r>
      <w:r w:rsidR="00A24A7E">
        <w:rPr>
          <w:rFonts w:ascii="Arial" w:hAnsi="Arial" w:cs="Arial"/>
          <w:bCs/>
          <w:szCs w:val="24"/>
        </w:rPr>
        <w:fldChar w:fldCharType="end"/>
      </w:r>
      <w:r w:rsidR="00A24A7E">
        <w:rPr>
          <w:rFonts w:ascii="Arial" w:hAnsi="Arial" w:cs="Arial"/>
          <w:bCs/>
          <w:szCs w:val="24"/>
        </w:rPr>
        <w:t>.</w:t>
      </w:r>
    </w:p>
    <w:p w14:paraId="615E11B3" w14:textId="77777777" w:rsidR="006225A6" w:rsidRPr="00FE09DC" w:rsidRDefault="006225A6" w:rsidP="006225A6">
      <w:pPr>
        <w:pStyle w:val="Textoindependiente2"/>
        <w:spacing w:line="360" w:lineRule="auto"/>
        <w:jc w:val="both"/>
        <w:rPr>
          <w:rFonts w:ascii="Arial" w:hAnsi="Arial" w:cs="Arial"/>
          <w:b/>
          <w:szCs w:val="24"/>
        </w:rPr>
      </w:pPr>
    </w:p>
    <w:p w14:paraId="70D9E70D" w14:textId="77777777" w:rsidR="006225A6" w:rsidRPr="00FE09DC" w:rsidRDefault="006225A6" w:rsidP="006225A6">
      <w:pPr>
        <w:pStyle w:val="Textoindependiente2"/>
        <w:spacing w:line="360" w:lineRule="auto"/>
        <w:jc w:val="both"/>
        <w:rPr>
          <w:rFonts w:ascii="Arial" w:hAnsi="Arial" w:cs="Arial"/>
          <w:b/>
          <w:bCs/>
          <w:szCs w:val="24"/>
          <w:lang w:val="es-PE"/>
        </w:rPr>
      </w:pPr>
      <w:r w:rsidRPr="00FE09DC">
        <w:rPr>
          <w:rFonts w:ascii="Arial" w:hAnsi="Arial" w:cs="Arial"/>
          <w:b/>
          <w:bCs/>
          <w:szCs w:val="24"/>
          <w:lang w:val="es-PE"/>
        </w:rPr>
        <w:t xml:space="preserve">       </w:t>
      </w:r>
      <w:r w:rsidRPr="00FE09DC">
        <w:rPr>
          <w:rFonts w:ascii="Arial" w:hAnsi="Arial" w:cs="Arial"/>
          <w:b/>
          <w:bCs/>
          <w:szCs w:val="24"/>
          <w:lang w:val="es-PE"/>
        </w:rPr>
        <w:tab/>
        <w:t xml:space="preserve">    </w:t>
      </w:r>
    </w:p>
    <w:p w14:paraId="7281D48E"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szCs w:val="24"/>
        </w:rPr>
        <w:t xml:space="preserve">Descripción del </w:t>
      </w:r>
      <w:r w:rsidRPr="00FE09DC">
        <w:rPr>
          <w:rFonts w:ascii="Arial" w:hAnsi="Arial" w:cs="Arial"/>
          <w:b/>
          <w:bCs/>
          <w:i/>
          <w:szCs w:val="24"/>
        </w:rPr>
        <w:t>aporte</w:t>
      </w:r>
      <w:r w:rsidRPr="00FE09DC">
        <w:rPr>
          <w:rFonts w:ascii="Arial" w:hAnsi="Arial" w:cs="Arial"/>
          <w:b/>
          <w:bCs/>
          <w:szCs w:val="24"/>
        </w:rPr>
        <w:t xml:space="preserve"> del autor</w:t>
      </w:r>
    </w:p>
    <w:p w14:paraId="607B1B00" w14:textId="01F85D1D" w:rsidR="00A03744" w:rsidRDefault="00B33D1A" w:rsidP="00264022">
      <w:pPr>
        <w:pStyle w:val="Textoindependiente2"/>
        <w:spacing w:line="360" w:lineRule="auto"/>
        <w:jc w:val="both"/>
        <w:rPr>
          <w:rFonts w:ascii="Arial" w:hAnsi="Arial" w:cs="Arial"/>
          <w:szCs w:val="24"/>
        </w:rPr>
      </w:pPr>
      <w:r w:rsidRPr="00B33D1A">
        <w:rPr>
          <w:rFonts w:ascii="Arial" w:hAnsi="Arial" w:cs="Arial"/>
          <w:szCs w:val="24"/>
        </w:rPr>
        <w:t xml:space="preserve">El autor </w:t>
      </w:r>
      <w:r w:rsidR="001B2DF9">
        <w:rPr>
          <w:rFonts w:ascii="Arial" w:hAnsi="Arial" w:cs="Arial"/>
          <w:szCs w:val="24"/>
        </w:rPr>
        <w:t xml:space="preserve">propone una arquitectura </w:t>
      </w:r>
      <w:r w:rsidR="00264022">
        <w:rPr>
          <w:rFonts w:ascii="Arial" w:hAnsi="Arial" w:cs="Arial"/>
          <w:szCs w:val="24"/>
        </w:rPr>
        <w:t>de internet sistemática y en capas para la logística de alimentos perecederos la cual se puede explotar para mejorar el espacio logístico y algunos de los desafíos que deben resolverse para que sea practico.</w:t>
      </w:r>
      <w:r w:rsidR="00C630A9">
        <w:rPr>
          <w:rFonts w:ascii="Arial" w:hAnsi="Arial" w:cs="Arial"/>
          <w:szCs w:val="24"/>
        </w:rPr>
        <w:t xml:space="preserve"> </w:t>
      </w:r>
    </w:p>
    <w:p w14:paraId="4EBB439C" w14:textId="77777777" w:rsidR="006225A6" w:rsidRPr="00CE25A6" w:rsidRDefault="006225A6" w:rsidP="006225A6">
      <w:pPr>
        <w:pStyle w:val="Textoindependiente2"/>
        <w:spacing w:line="360" w:lineRule="auto"/>
        <w:jc w:val="both"/>
        <w:rPr>
          <w:rFonts w:ascii="Arial" w:hAnsi="Arial" w:cs="Arial"/>
          <w:szCs w:val="24"/>
        </w:rPr>
      </w:pPr>
      <w:r w:rsidRPr="00CE25A6">
        <w:rPr>
          <w:rFonts w:ascii="Arial" w:hAnsi="Arial" w:cs="Arial"/>
          <w:szCs w:val="24"/>
        </w:rPr>
        <w:tab/>
      </w:r>
      <w:r w:rsidRPr="00CE25A6">
        <w:rPr>
          <w:rFonts w:ascii="Arial" w:hAnsi="Arial" w:cs="Arial"/>
          <w:szCs w:val="24"/>
        </w:rPr>
        <w:tab/>
      </w:r>
      <w:r w:rsidRPr="00CE25A6">
        <w:rPr>
          <w:rFonts w:ascii="Arial" w:hAnsi="Arial" w:cs="Arial"/>
          <w:szCs w:val="24"/>
        </w:rPr>
        <w:tab/>
        <w:t xml:space="preserve"> </w:t>
      </w:r>
    </w:p>
    <w:p w14:paraId="011D994F"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i/>
          <w:szCs w:val="24"/>
        </w:rPr>
        <w:t>Proceso</w:t>
      </w:r>
      <w:r w:rsidRPr="00FE09DC">
        <w:rPr>
          <w:rFonts w:ascii="Arial" w:hAnsi="Arial" w:cs="Arial"/>
          <w:b/>
          <w:bCs/>
          <w:szCs w:val="24"/>
        </w:rPr>
        <w:t xml:space="preserve"> para resolver el problema</w:t>
      </w:r>
    </w:p>
    <w:p w14:paraId="429132B2" w14:textId="7D305D0F" w:rsidR="00264022" w:rsidRDefault="00DB5528" w:rsidP="00A03744">
      <w:pPr>
        <w:pStyle w:val="Textoindependiente2"/>
        <w:spacing w:line="360" w:lineRule="auto"/>
        <w:jc w:val="both"/>
        <w:rPr>
          <w:rFonts w:ascii="Arial" w:hAnsi="Arial" w:cs="Arial"/>
          <w:szCs w:val="24"/>
        </w:rPr>
      </w:pPr>
      <w:r>
        <w:rPr>
          <w:rFonts w:ascii="Arial" w:hAnsi="Arial" w:cs="Arial"/>
          <w:szCs w:val="24"/>
        </w:rPr>
        <w:t xml:space="preserve">Primero el autor </w:t>
      </w:r>
      <w:r w:rsidR="00A772BA">
        <w:rPr>
          <w:rFonts w:ascii="Arial" w:hAnsi="Arial" w:cs="Arial"/>
          <w:szCs w:val="24"/>
        </w:rPr>
        <w:t>compara y contrasta las redes de información y logística y analiza las nociones recientes del internet físico. Luego, da una mirada en los desafíos de la distribución de productos perecederos. Continua por investigar sobre las iniciativas a fines con la propuesta y las contribuciones de la identificación por radiofrecuencia RFID en la cadena de suministros. Finalmente, se presenta el modelo unificado en capas llamado internet de logística perecible.</w:t>
      </w:r>
      <w:r>
        <w:rPr>
          <w:rFonts w:ascii="Arial" w:hAnsi="Arial" w:cs="Arial"/>
          <w:szCs w:val="24"/>
        </w:rPr>
        <w:t xml:space="preserve"> </w:t>
      </w:r>
    </w:p>
    <w:p w14:paraId="60D1C42D" w14:textId="77777777" w:rsidR="00837FDE" w:rsidRDefault="00837FDE" w:rsidP="006225A6">
      <w:pPr>
        <w:pStyle w:val="Textoindependiente2"/>
        <w:spacing w:line="360" w:lineRule="auto"/>
        <w:jc w:val="both"/>
        <w:rPr>
          <w:rFonts w:ascii="Arial" w:hAnsi="Arial" w:cs="Arial"/>
          <w:szCs w:val="24"/>
        </w:rPr>
      </w:pPr>
    </w:p>
    <w:p w14:paraId="76D1885B" w14:textId="77777777" w:rsidR="006225A6" w:rsidRPr="00FE09DC" w:rsidRDefault="006225A6" w:rsidP="006225A6">
      <w:pPr>
        <w:pStyle w:val="Textoindependiente2"/>
        <w:spacing w:line="360" w:lineRule="auto"/>
        <w:jc w:val="both"/>
        <w:rPr>
          <w:rFonts w:ascii="Arial" w:hAnsi="Arial" w:cs="Arial"/>
          <w:b/>
          <w:bCs/>
          <w:szCs w:val="24"/>
        </w:rPr>
      </w:pPr>
    </w:p>
    <w:p w14:paraId="5F690BB5"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szCs w:val="24"/>
        </w:rPr>
        <w:t xml:space="preserve">Principal </w:t>
      </w:r>
      <w:r w:rsidRPr="00FE09DC">
        <w:rPr>
          <w:rFonts w:ascii="Arial" w:hAnsi="Arial" w:cs="Arial"/>
          <w:b/>
          <w:bCs/>
          <w:i/>
          <w:szCs w:val="24"/>
        </w:rPr>
        <w:t>resultado</w:t>
      </w:r>
    </w:p>
    <w:p w14:paraId="5BF31A4F" w14:textId="53AF9A13" w:rsidR="006225A6" w:rsidRDefault="00712080" w:rsidP="00312EE1">
      <w:pPr>
        <w:pStyle w:val="Textoindependiente2"/>
        <w:spacing w:line="360" w:lineRule="auto"/>
        <w:jc w:val="both"/>
        <w:rPr>
          <w:rFonts w:ascii="Arial" w:hAnsi="Arial" w:cs="Arial"/>
          <w:szCs w:val="24"/>
        </w:rPr>
      </w:pPr>
      <w:r>
        <w:rPr>
          <w:rFonts w:ascii="Arial" w:hAnsi="Arial" w:cs="Arial"/>
          <w:szCs w:val="24"/>
        </w:rPr>
        <w:t xml:space="preserve">Como principal resultado se tiene a la arquitectura de red IoPL que se basa en el modelo de internet cibernético </w:t>
      </w:r>
      <w:r w:rsidR="00312EE1">
        <w:rPr>
          <w:rFonts w:ascii="Arial" w:hAnsi="Arial" w:cs="Arial"/>
          <w:szCs w:val="24"/>
        </w:rPr>
        <w:t xml:space="preserve">como se puede apreciar en la Figura 1, esto para </w:t>
      </w:r>
      <w:r>
        <w:rPr>
          <w:rFonts w:ascii="Arial" w:hAnsi="Arial" w:cs="Arial"/>
          <w:szCs w:val="24"/>
        </w:rPr>
        <w:t>unificar los dos tanto sea posible</w:t>
      </w:r>
    </w:p>
    <w:p w14:paraId="184536B2" w14:textId="77777777" w:rsidR="006225A6" w:rsidRDefault="006225A6" w:rsidP="006225A6">
      <w:pPr>
        <w:pStyle w:val="Textoindependiente2"/>
        <w:spacing w:line="360" w:lineRule="auto"/>
        <w:jc w:val="both"/>
        <w:rPr>
          <w:rFonts w:ascii="Arial" w:hAnsi="Arial" w:cs="Arial"/>
          <w:szCs w:val="24"/>
        </w:rPr>
      </w:pPr>
    </w:p>
    <w:p w14:paraId="32501704" w14:textId="7FFBF276" w:rsidR="006225A6" w:rsidRDefault="00A772BA" w:rsidP="00A772BA">
      <w:pPr>
        <w:pStyle w:val="Textoindependiente2"/>
        <w:spacing w:line="360" w:lineRule="auto"/>
        <w:jc w:val="center"/>
        <w:rPr>
          <w:rFonts w:ascii="Arial" w:hAnsi="Arial" w:cs="Arial"/>
          <w:szCs w:val="24"/>
        </w:rPr>
      </w:pPr>
      <w:r>
        <w:rPr>
          <w:noProof/>
        </w:rPr>
        <w:lastRenderedPageBreak/>
        <w:drawing>
          <wp:inline distT="0" distB="0" distL="0" distR="0" wp14:anchorId="7F91A009" wp14:editId="2047B79A">
            <wp:extent cx="4819650" cy="2562225"/>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stretch>
                      <a:fillRect/>
                    </a:stretch>
                  </pic:blipFill>
                  <pic:spPr>
                    <a:xfrm>
                      <a:off x="0" y="0"/>
                      <a:ext cx="4819650" cy="2562225"/>
                    </a:xfrm>
                    <a:prstGeom prst="rect">
                      <a:avLst/>
                    </a:prstGeom>
                  </pic:spPr>
                </pic:pic>
              </a:graphicData>
            </a:graphic>
          </wp:inline>
        </w:drawing>
      </w:r>
    </w:p>
    <w:p w14:paraId="458FD1D0" w14:textId="76520168" w:rsidR="006225A6" w:rsidRDefault="006225A6" w:rsidP="00312EE1">
      <w:pPr>
        <w:pStyle w:val="Textoindependiente2"/>
        <w:spacing w:line="360" w:lineRule="auto"/>
        <w:jc w:val="center"/>
        <w:rPr>
          <w:rFonts w:ascii="Arial" w:hAnsi="Arial" w:cs="Arial"/>
          <w:szCs w:val="24"/>
        </w:rPr>
      </w:pPr>
      <w:r>
        <w:rPr>
          <w:rFonts w:ascii="Arial" w:hAnsi="Arial" w:cs="Arial"/>
          <w:szCs w:val="24"/>
        </w:rPr>
        <w:t xml:space="preserve">Figura 1. </w:t>
      </w:r>
      <w:r w:rsidR="00A772BA">
        <w:rPr>
          <w:rFonts w:ascii="Arial" w:hAnsi="Arial" w:cs="Arial"/>
          <w:szCs w:val="24"/>
        </w:rPr>
        <w:t xml:space="preserve">Tabla de protocolos IOPL de 5 capas propuesta </w:t>
      </w:r>
      <w:r w:rsidR="00A772BA">
        <w:rPr>
          <w:rFonts w:ascii="Arial" w:hAnsi="Arial" w:cs="Arial"/>
          <w:szCs w:val="24"/>
        </w:rPr>
        <w:fldChar w:fldCharType="begin" w:fldLock="1"/>
      </w:r>
      <w:r w:rsidR="00712080">
        <w:rPr>
          <w:rFonts w:ascii="Arial" w:hAnsi="Arial" w:cs="Arial"/>
          <w:szCs w:val="24"/>
        </w:rPr>
        <w:instrText>ADDIN CSL_CITATION {"citationItems":[{"id":"ITEM-1","itemData":{"DOI":"10.1109/ACCESS.2019.2894126","ISSN":"21693536","abstract":"Computer networks and logistics systems are two very rich fields of study that have grown almost entirely separately since they deal with entirely different entities-information packets versus packages. However, driven by extensive automation and infusion of information technology into distribution logistics and need to improve the efficiency and sustainability of the operations, the logistics have attempted to adopt the cyber Internet principles. In this paper, we specifically consider the distribution of perishable commodities, such as fresh food, perishable pharmaceuticals, blood, and so on, in this context and thereby introduce the notion of the Internet of Perishable Logistics (IoPL). We propose a layered architecture model for IoPL modeled after the cyber Internet and show how it can be useful in systematic and hierarchical modeling of perishable logistics operations, which are extremely complex. We also show the synergies between IoPL and the cyber Internet and discuss a number of research issues inspired by such synergies. We also show how the layered model can be exploited to construct a simplified analytical framework for studying some basic tradeoffs between the delivered quality of the perishable product, transportation efficiency (in terms of unused carrier space), and the number of active carriers (which translates into cost and carbon footprint of the transportation service). This paper also points out a number of future research challenges and directions for a smarter IoPL.","author":[{"dropping-particle":"","family":"Pal","given":"Amitangshu","non-dropping-particle":"","parse-names":false,"suffix":""},{"dropping-particle":"","family":"Kant","given":"Krishna","non-dropping-particle":"","parse-names":false,"suffix":""}],"container-title":"IEEE Access","id":"ITEM-1","issued":{"date-parts":[["2019"]]},"page":"17675-17695","publisher":"IEEE","title":"Internet of Perishable Logistics: Building Smart Fresh Food Supply Chain Networks","type":"article-journal","volume":"7"},"uris":["http://www.mendeley.com/documents/?uuid=90ad905e-f2ef-475c-a5a8-738c9f0f0c03"]}],"mendeley":{"formattedCitation":"(Pal &amp; Kant, 2019)","plainTextFormattedCitation":"(Pal &amp; Kant, 2019)","previouslyFormattedCitation":"(Pal &amp; Kant, 2019)"},"properties":{"noteIndex":0},"schema":"https://github.com/citation-style-language/schema/raw/master/csl-citation.json"}</w:instrText>
      </w:r>
      <w:r w:rsidR="00A772BA">
        <w:rPr>
          <w:rFonts w:ascii="Arial" w:hAnsi="Arial" w:cs="Arial"/>
          <w:szCs w:val="24"/>
        </w:rPr>
        <w:fldChar w:fldCharType="separate"/>
      </w:r>
      <w:r w:rsidR="00A772BA" w:rsidRPr="00A772BA">
        <w:rPr>
          <w:rFonts w:ascii="Arial" w:hAnsi="Arial" w:cs="Arial"/>
          <w:noProof/>
          <w:szCs w:val="24"/>
        </w:rPr>
        <w:t>(Pal &amp; Kant, 2019)</w:t>
      </w:r>
      <w:r w:rsidR="00A772BA">
        <w:rPr>
          <w:rFonts w:ascii="Arial" w:hAnsi="Arial" w:cs="Arial"/>
          <w:szCs w:val="24"/>
        </w:rPr>
        <w:fldChar w:fldCharType="end"/>
      </w:r>
      <w:r w:rsidR="00A772BA">
        <w:rPr>
          <w:rFonts w:ascii="Arial" w:hAnsi="Arial" w:cs="Arial"/>
          <w:szCs w:val="24"/>
        </w:rPr>
        <w:t>.</w:t>
      </w:r>
    </w:p>
    <w:p w14:paraId="3970FED7" w14:textId="77777777" w:rsidR="006225A6" w:rsidRDefault="006225A6" w:rsidP="006225A6">
      <w:pPr>
        <w:pStyle w:val="Textoindependiente2"/>
        <w:spacing w:line="360" w:lineRule="auto"/>
        <w:jc w:val="both"/>
        <w:rPr>
          <w:rFonts w:ascii="Arial" w:hAnsi="Arial" w:cs="Arial"/>
          <w:szCs w:val="24"/>
        </w:rPr>
      </w:pPr>
    </w:p>
    <w:p w14:paraId="75237145" w14:textId="2B05B2E3" w:rsidR="006225A6" w:rsidRPr="00FE09DC" w:rsidRDefault="006225A6" w:rsidP="006225A6">
      <w:pPr>
        <w:pStyle w:val="Textoindependiente2"/>
        <w:spacing w:line="360" w:lineRule="auto"/>
        <w:jc w:val="both"/>
        <w:rPr>
          <w:rFonts w:ascii="Arial" w:hAnsi="Arial" w:cs="Arial"/>
          <w:b/>
          <w:bCs/>
          <w:szCs w:val="24"/>
        </w:rPr>
      </w:pPr>
      <w:r w:rsidRPr="00FE09DC">
        <w:rPr>
          <w:rFonts w:ascii="Arial" w:hAnsi="Arial" w:cs="Arial"/>
          <w:b/>
          <w:bCs/>
          <w:szCs w:val="24"/>
        </w:rPr>
        <w:t xml:space="preserve">            </w:t>
      </w:r>
    </w:p>
    <w:p w14:paraId="6BBD4D0A" w14:textId="77777777" w:rsidR="006225A6" w:rsidRPr="00FE09DC" w:rsidRDefault="006225A6" w:rsidP="006225A6">
      <w:pPr>
        <w:pStyle w:val="Textoindependiente2"/>
        <w:spacing w:line="360" w:lineRule="auto"/>
        <w:jc w:val="both"/>
        <w:rPr>
          <w:rFonts w:ascii="Arial" w:hAnsi="Arial" w:cs="Arial"/>
          <w:b/>
          <w:bCs/>
          <w:szCs w:val="24"/>
        </w:rPr>
      </w:pPr>
    </w:p>
    <w:p w14:paraId="584164E7"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szCs w:val="24"/>
        </w:rPr>
        <w:t xml:space="preserve">Colocar las </w:t>
      </w:r>
      <w:r w:rsidRPr="00FE09DC">
        <w:rPr>
          <w:rFonts w:ascii="Arial" w:hAnsi="Arial" w:cs="Arial"/>
          <w:b/>
          <w:bCs/>
          <w:i/>
          <w:szCs w:val="24"/>
        </w:rPr>
        <w:t>referencias bibliográficas</w:t>
      </w:r>
      <w:r w:rsidRPr="00FE09DC">
        <w:rPr>
          <w:rFonts w:ascii="Arial" w:hAnsi="Arial" w:cs="Arial"/>
          <w:b/>
          <w:bCs/>
          <w:szCs w:val="24"/>
        </w:rPr>
        <w:t xml:space="preserve"> referenciadas en este informe</w:t>
      </w:r>
    </w:p>
    <w:p w14:paraId="5FC8DDE3" w14:textId="77777777" w:rsidR="006225A6" w:rsidRDefault="006225A6" w:rsidP="006225A6">
      <w:pPr>
        <w:pStyle w:val="Textoindependiente2"/>
        <w:spacing w:line="360" w:lineRule="auto"/>
        <w:jc w:val="both"/>
        <w:rPr>
          <w:rFonts w:ascii="Arial" w:hAnsi="Arial" w:cs="Arial"/>
          <w:b/>
          <w:bCs/>
          <w:szCs w:val="24"/>
        </w:rPr>
      </w:pPr>
    </w:p>
    <w:p w14:paraId="12587F9F" w14:textId="6524385D" w:rsidR="00712080" w:rsidRPr="00712080" w:rsidRDefault="00712080" w:rsidP="00712080">
      <w:pPr>
        <w:widowControl w:val="0"/>
        <w:autoSpaceDE w:val="0"/>
        <w:autoSpaceDN w:val="0"/>
        <w:adjustRightInd w:val="0"/>
        <w:spacing w:after="0" w:line="360" w:lineRule="auto"/>
        <w:ind w:left="480" w:hanging="480"/>
        <w:rPr>
          <w:rFonts w:ascii="Arial" w:hAnsi="Arial" w:cs="Arial"/>
          <w:noProof/>
          <w:sz w:val="24"/>
          <w:szCs w:val="24"/>
        </w:rPr>
      </w:pPr>
      <w:r>
        <w:rPr>
          <w:rFonts w:ascii="Arial" w:hAnsi="Arial" w:cs="Arial"/>
          <w:szCs w:val="24"/>
        </w:rPr>
        <w:fldChar w:fldCharType="begin" w:fldLock="1"/>
      </w:r>
      <w:r>
        <w:rPr>
          <w:rFonts w:ascii="Arial" w:hAnsi="Arial" w:cs="Arial"/>
          <w:szCs w:val="24"/>
        </w:rPr>
        <w:instrText xml:space="preserve">ADDIN Mendeley Bibliography CSL_BIBLIOGRAPHY </w:instrText>
      </w:r>
      <w:r>
        <w:rPr>
          <w:rFonts w:ascii="Arial" w:hAnsi="Arial" w:cs="Arial"/>
          <w:szCs w:val="24"/>
        </w:rPr>
        <w:fldChar w:fldCharType="separate"/>
      </w:r>
      <w:r w:rsidRPr="00712080">
        <w:rPr>
          <w:rFonts w:ascii="Arial" w:hAnsi="Arial" w:cs="Arial"/>
          <w:noProof/>
          <w:sz w:val="24"/>
          <w:szCs w:val="24"/>
        </w:rPr>
        <w:t xml:space="preserve">Ilie-Zudor, E., Kemény, Z., Van Blommestein, F., Monostori, L., &amp; Van Der Meulen, A. (2011). A survey of applications and requirements of unique identification systems and RFID techniques. </w:t>
      </w:r>
      <w:r w:rsidRPr="00712080">
        <w:rPr>
          <w:rFonts w:ascii="Arial" w:hAnsi="Arial" w:cs="Arial"/>
          <w:i/>
          <w:iCs/>
          <w:noProof/>
          <w:sz w:val="24"/>
          <w:szCs w:val="24"/>
        </w:rPr>
        <w:t>Computers in Industry</w:t>
      </w:r>
      <w:r w:rsidRPr="00712080">
        <w:rPr>
          <w:rFonts w:ascii="Arial" w:hAnsi="Arial" w:cs="Arial"/>
          <w:noProof/>
          <w:sz w:val="24"/>
          <w:szCs w:val="24"/>
        </w:rPr>
        <w:t xml:space="preserve">, </w:t>
      </w:r>
      <w:r w:rsidRPr="00712080">
        <w:rPr>
          <w:rFonts w:ascii="Arial" w:hAnsi="Arial" w:cs="Arial"/>
          <w:i/>
          <w:iCs/>
          <w:noProof/>
          <w:sz w:val="24"/>
          <w:szCs w:val="24"/>
        </w:rPr>
        <w:t>62</w:t>
      </w:r>
      <w:r w:rsidRPr="00712080">
        <w:rPr>
          <w:rFonts w:ascii="Arial" w:hAnsi="Arial" w:cs="Arial"/>
          <w:noProof/>
          <w:sz w:val="24"/>
          <w:szCs w:val="24"/>
        </w:rPr>
        <w:t>(3), 227–252. https://doi.org/10.1016/j.compind.2010.10.004</w:t>
      </w:r>
    </w:p>
    <w:p w14:paraId="6824AFEE" w14:textId="77777777" w:rsidR="00712080" w:rsidRPr="00712080" w:rsidRDefault="00712080" w:rsidP="00712080">
      <w:pPr>
        <w:widowControl w:val="0"/>
        <w:autoSpaceDE w:val="0"/>
        <w:autoSpaceDN w:val="0"/>
        <w:adjustRightInd w:val="0"/>
        <w:spacing w:after="0" w:line="360" w:lineRule="auto"/>
        <w:ind w:left="480" w:hanging="480"/>
        <w:rPr>
          <w:rFonts w:ascii="Arial" w:hAnsi="Arial" w:cs="Arial"/>
          <w:noProof/>
          <w:sz w:val="24"/>
          <w:szCs w:val="24"/>
        </w:rPr>
      </w:pPr>
      <w:r w:rsidRPr="00712080">
        <w:rPr>
          <w:rFonts w:ascii="Arial" w:hAnsi="Arial" w:cs="Arial"/>
          <w:noProof/>
          <w:sz w:val="24"/>
          <w:szCs w:val="24"/>
        </w:rPr>
        <w:t xml:space="preserve">Karaesmen, I. Z., Scheller–Wolf, A., &amp; Deniz, B. C.-K. (2011). Planning Production and Inventories in the Extended Enterprise. In </w:t>
      </w:r>
      <w:r w:rsidRPr="00712080">
        <w:rPr>
          <w:rFonts w:ascii="Arial" w:hAnsi="Arial" w:cs="Arial"/>
          <w:i/>
          <w:iCs/>
          <w:noProof/>
          <w:sz w:val="24"/>
          <w:szCs w:val="24"/>
        </w:rPr>
        <w:t>Planning Production and Inventories in the Extended Enterprise</w:t>
      </w:r>
      <w:r w:rsidRPr="00712080">
        <w:rPr>
          <w:rFonts w:ascii="Arial" w:hAnsi="Arial" w:cs="Arial"/>
          <w:noProof/>
          <w:sz w:val="24"/>
          <w:szCs w:val="24"/>
        </w:rPr>
        <w:t xml:space="preserve"> (Vol. 151). https://doi.org/10.1007/978-1-4419-6485-4</w:t>
      </w:r>
    </w:p>
    <w:p w14:paraId="627E2E00" w14:textId="77777777" w:rsidR="00712080" w:rsidRPr="00712080" w:rsidRDefault="00712080" w:rsidP="00712080">
      <w:pPr>
        <w:widowControl w:val="0"/>
        <w:autoSpaceDE w:val="0"/>
        <w:autoSpaceDN w:val="0"/>
        <w:adjustRightInd w:val="0"/>
        <w:spacing w:after="0" w:line="360" w:lineRule="auto"/>
        <w:ind w:left="480" w:hanging="480"/>
        <w:rPr>
          <w:rFonts w:ascii="Arial" w:hAnsi="Arial" w:cs="Arial"/>
          <w:noProof/>
          <w:sz w:val="24"/>
        </w:rPr>
      </w:pPr>
      <w:r w:rsidRPr="00712080">
        <w:rPr>
          <w:rFonts w:ascii="Arial" w:hAnsi="Arial" w:cs="Arial"/>
          <w:noProof/>
          <w:sz w:val="24"/>
          <w:szCs w:val="24"/>
        </w:rPr>
        <w:t xml:space="preserve">Pal, A., &amp; Kant, K. (2019). Internet of Perishable Logistics: Building Smart Fresh Food Supply Chain Networks. </w:t>
      </w:r>
      <w:r w:rsidRPr="00712080">
        <w:rPr>
          <w:rFonts w:ascii="Arial" w:hAnsi="Arial" w:cs="Arial"/>
          <w:i/>
          <w:iCs/>
          <w:noProof/>
          <w:sz w:val="24"/>
          <w:szCs w:val="24"/>
        </w:rPr>
        <w:t>IEEE Access</w:t>
      </w:r>
      <w:r w:rsidRPr="00712080">
        <w:rPr>
          <w:rFonts w:ascii="Arial" w:hAnsi="Arial" w:cs="Arial"/>
          <w:noProof/>
          <w:sz w:val="24"/>
          <w:szCs w:val="24"/>
        </w:rPr>
        <w:t xml:space="preserve">, </w:t>
      </w:r>
      <w:r w:rsidRPr="00712080">
        <w:rPr>
          <w:rFonts w:ascii="Arial" w:hAnsi="Arial" w:cs="Arial"/>
          <w:i/>
          <w:iCs/>
          <w:noProof/>
          <w:sz w:val="24"/>
          <w:szCs w:val="24"/>
        </w:rPr>
        <w:t>7</w:t>
      </w:r>
      <w:r w:rsidRPr="00712080">
        <w:rPr>
          <w:rFonts w:ascii="Arial" w:hAnsi="Arial" w:cs="Arial"/>
          <w:noProof/>
          <w:sz w:val="24"/>
          <w:szCs w:val="24"/>
        </w:rPr>
        <w:t>, 17675–17695. https://doi.org/10.1109/ACCESS.2019.2894126</w:t>
      </w:r>
    </w:p>
    <w:p w14:paraId="306A4EF7" w14:textId="7CA1C58A" w:rsidR="006225A6" w:rsidRPr="00C865FF" w:rsidRDefault="00712080" w:rsidP="006225A6">
      <w:pPr>
        <w:pStyle w:val="Textoindependiente2"/>
        <w:spacing w:line="360" w:lineRule="auto"/>
        <w:jc w:val="both"/>
        <w:rPr>
          <w:rFonts w:ascii="Arial" w:hAnsi="Arial" w:cs="Arial"/>
          <w:szCs w:val="24"/>
          <w:lang w:val="es-PE"/>
        </w:rPr>
      </w:pPr>
      <w:r>
        <w:rPr>
          <w:rFonts w:ascii="Arial" w:hAnsi="Arial" w:cs="Arial"/>
          <w:szCs w:val="24"/>
          <w:lang w:val="es-PE"/>
        </w:rPr>
        <w:fldChar w:fldCharType="end"/>
      </w:r>
    </w:p>
    <w:p w14:paraId="3484F261" w14:textId="77777777" w:rsidR="0099135D" w:rsidRDefault="004E64A8"/>
    <w:sectPr w:rsidR="009913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C621E"/>
    <w:multiLevelType w:val="hybridMultilevel"/>
    <w:tmpl w:val="C4185094"/>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A6"/>
    <w:rsid w:val="00021EFF"/>
    <w:rsid w:val="000611C4"/>
    <w:rsid w:val="000A603D"/>
    <w:rsid w:val="0010446B"/>
    <w:rsid w:val="001178BC"/>
    <w:rsid w:val="0013005A"/>
    <w:rsid w:val="0015038C"/>
    <w:rsid w:val="00175D6F"/>
    <w:rsid w:val="001B2DF9"/>
    <w:rsid w:val="001D2DE8"/>
    <w:rsid w:val="00264022"/>
    <w:rsid w:val="00297874"/>
    <w:rsid w:val="00312EE1"/>
    <w:rsid w:val="004B7DC5"/>
    <w:rsid w:val="004E64A8"/>
    <w:rsid w:val="006225A6"/>
    <w:rsid w:val="0069683F"/>
    <w:rsid w:val="006B1CE7"/>
    <w:rsid w:val="00712080"/>
    <w:rsid w:val="00724141"/>
    <w:rsid w:val="00777261"/>
    <w:rsid w:val="00837FDE"/>
    <w:rsid w:val="009113CE"/>
    <w:rsid w:val="00994D1F"/>
    <w:rsid w:val="00994DE8"/>
    <w:rsid w:val="00A03744"/>
    <w:rsid w:val="00A24A7E"/>
    <w:rsid w:val="00A36FBB"/>
    <w:rsid w:val="00A772BA"/>
    <w:rsid w:val="00AF429C"/>
    <w:rsid w:val="00B33D1A"/>
    <w:rsid w:val="00BD6B0F"/>
    <w:rsid w:val="00C630A9"/>
    <w:rsid w:val="00CC2DF6"/>
    <w:rsid w:val="00CE3FC3"/>
    <w:rsid w:val="00D12079"/>
    <w:rsid w:val="00D97F5D"/>
    <w:rsid w:val="00DB5528"/>
    <w:rsid w:val="00E645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A179"/>
  <w15:chartTrackingRefBased/>
  <w15:docId w15:val="{A7BF6A1D-E637-4588-927F-E2C307DC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5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6225A6"/>
    <w:pPr>
      <w:spacing w:after="0" w:line="240" w:lineRule="auto"/>
    </w:pPr>
    <w:rPr>
      <w:rFonts w:ascii="Times New Roman" w:eastAsia="Times New Roman" w:hAnsi="Times New Roman" w:cs="Times New Roman"/>
      <w:sz w:val="24"/>
      <w:szCs w:val="20"/>
      <w:lang w:val="es-ES" w:eastAsia="es-ES"/>
    </w:rPr>
  </w:style>
  <w:style w:type="character" w:customStyle="1" w:styleId="Textoindependiente2Car">
    <w:name w:val="Texto independiente 2 Car"/>
    <w:basedOn w:val="Fuentedeprrafopredeter"/>
    <w:link w:val="Textoindependiente2"/>
    <w:rsid w:val="006225A6"/>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35029">
      <w:bodyDiv w:val="1"/>
      <w:marLeft w:val="0"/>
      <w:marRight w:val="0"/>
      <w:marTop w:val="0"/>
      <w:marBottom w:val="0"/>
      <w:divBdr>
        <w:top w:val="none" w:sz="0" w:space="0" w:color="auto"/>
        <w:left w:val="none" w:sz="0" w:space="0" w:color="auto"/>
        <w:bottom w:val="none" w:sz="0" w:space="0" w:color="auto"/>
        <w:right w:val="none" w:sz="0" w:space="0" w:color="auto"/>
      </w:divBdr>
    </w:div>
    <w:div w:id="1935938370">
      <w:bodyDiv w:val="1"/>
      <w:marLeft w:val="0"/>
      <w:marRight w:val="0"/>
      <w:marTop w:val="0"/>
      <w:marBottom w:val="0"/>
      <w:divBdr>
        <w:top w:val="none" w:sz="0" w:space="0" w:color="auto"/>
        <w:left w:val="none" w:sz="0" w:space="0" w:color="auto"/>
        <w:bottom w:val="none" w:sz="0" w:space="0" w:color="auto"/>
        <w:right w:val="none" w:sz="0" w:space="0" w:color="auto"/>
      </w:divBdr>
      <w:divsChild>
        <w:div w:id="2095466781">
          <w:marLeft w:val="0"/>
          <w:marRight w:val="0"/>
          <w:marTop w:val="0"/>
          <w:marBottom w:val="0"/>
          <w:divBdr>
            <w:top w:val="none" w:sz="0" w:space="0" w:color="auto"/>
            <w:left w:val="none" w:sz="0" w:space="0" w:color="auto"/>
            <w:bottom w:val="none" w:sz="0" w:space="0" w:color="auto"/>
            <w:right w:val="none" w:sz="0" w:space="0" w:color="auto"/>
          </w:divBdr>
          <w:divsChild>
            <w:div w:id="703361902">
              <w:marLeft w:val="0"/>
              <w:marRight w:val="0"/>
              <w:marTop w:val="0"/>
              <w:marBottom w:val="0"/>
              <w:divBdr>
                <w:top w:val="none" w:sz="0" w:space="0" w:color="auto"/>
                <w:left w:val="none" w:sz="0" w:space="0" w:color="auto"/>
                <w:bottom w:val="none" w:sz="0" w:space="0" w:color="auto"/>
                <w:right w:val="none" w:sz="0" w:space="0" w:color="auto"/>
              </w:divBdr>
              <w:divsChild>
                <w:div w:id="794101314">
                  <w:marLeft w:val="0"/>
                  <w:marRight w:val="0"/>
                  <w:marTop w:val="0"/>
                  <w:marBottom w:val="0"/>
                  <w:divBdr>
                    <w:top w:val="none" w:sz="0" w:space="0" w:color="auto"/>
                    <w:left w:val="none" w:sz="0" w:space="0" w:color="auto"/>
                    <w:bottom w:val="none" w:sz="0" w:space="0" w:color="auto"/>
                    <w:right w:val="none" w:sz="0" w:space="0" w:color="auto"/>
                  </w:divBdr>
                  <w:divsChild>
                    <w:div w:id="827475907">
                      <w:marLeft w:val="0"/>
                      <w:marRight w:val="0"/>
                      <w:marTop w:val="0"/>
                      <w:marBottom w:val="0"/>
                      <w:divBdr>
                        <w:top w:val="none" w:sz="0" w:space="0" w:color="auto"/>
                        <w:left w:val="none" w:sz="0" w:space="0" w:color="auto"/>
                        <w:bottom w:val="none" w:sz="0" w:space="0" w:color="auto"/>
                        <w:right w:val="none" w:sz="0" w:space="0" w:color="auto"/>
                      </w:divBdr>
                      <w:divsChild>
                        <w:div w:id="1602566239">
                          <w:marLeft w:val="0"/>
                          <w:marRight w:val="0"/>
                          <w:marTop w:val="0"/>
                          <w:marBottom w:val="0"/>
                          <w:divBdr>
                            <w:top w:val="none" w:sz="0" w:space="0" w:color="auto"/>
                            <w:left w:val="none" w:sz="0" w:space="0" w:color="auto"/>
                            <w:bottom w:val="none" w:sz="0" w:space="0" w:color="auto"/>
                            <w:right w:val="none" w:sz="0" w:space="0" w:color="auto"/>
                          </w:divBdr>
                          <w:divsChild>
                            <w:div w:id="1913612204">
                              <w:marLeft w:val="0"/>
                              <w:marRight w:val="0"/>
                              <w:marTop w:val="0"/>
                              <w:marBottom w:val="0"/>
                              <w:divBdr>
                                <w:top w:val="none" w:sz="0" w:space="0" w:color="auto"/>
                                <w:left w:val="none" w:sz="0" w:space="0" w:color="auto"/>
                                <w:bottom w:val="none" w:sz="0" w:space="0" w:color="auto"/>
                                <w:right w:val="none" w:sz="0" w:space="0" w:color="auto"/>
                              </w:divBdr>
                              <w:divsChild>
                                <w:div w:id="1853058819">
                                  <w:marLeft w:val="0"/>
                                  <w:marRight w:val="0"/>
                                  <w:marTop w:val="0"/>
                                  <w:marBottom w:val="0"/>
                                  <w:divBdr>
                                    <w:top w:val="none" w:sz="0" w:space="0" w:color="auto"/>
                                    <w:left w:val="none" w:sz="0" w:space="0" w:color="auto"/>
                                    <w:bottom w:val="none" w:sz="0" w:space="0" w:color="auto"/>
                                    <w:right w:val="none" w:sz="0" w:space="0" w:color="auto"/>
                                  </w:divBdr>
                                  <w:divsChild>
                                    <w:div w:id="811992147">
                                      <w:marLeft w:val="0"/>
                                      <w:marRight w:val="0"/>
                                      <w:marTop w:val="0"/>
                                      <w:marBottom w:val="0"/>
                                      <w:divBdr>
                                        <w:top w:val="none" w:sz="0" w:space="0" w:color="auto"/>
                                        <w:left w:val="none" w:sz="0" w:space="0" w:color="auto"/>
                                        <w:bottom w:val="none" w:sz="0" w:space="0" w:color="auto"/>
                                        <w:right w:val="none" w:sz="0" w:space="0" w:color="auto"/>
                                      </w:divBdr>
                                    </w:div>
                                    <w:div w:id="204491477">
                                      <w:marLeft w:val="0"/>
                                      <w:marRight w:val="0"/>
                                      <w:marTop w:val="0"/>
                                      <w:marBottom w:val="0"/>
                                      <w:divBdr>
                                        <w:top w:val="none" w:sz="0" w:space="0" w:color="auto"/>
                                        <w:left w:val="none" w:sz="0" w:space="0" w:color="auto"/>
                                        <w:bottom w:val="none" w:sz="0" w:space="0" w:color="auto"/>
                                        <w:right w:val="none" w:sz="0" w:space="0" w:color="auto"/>
                                      </w:divBdr>
                                      <w:divsChild>
                                        <w:div w:id="926769783">
                                          <w:marLeft w:val="0"/>
                                          <w:marRight w:val="165"/>
                                          <w:marTop w:val="150"/>
                                          <w:marBottom w:val="0"/>
                                          <w:divBdr>
                                            <w:top w:val="none" w:sz="0" w:space="0" w:color="auto"/>
                                            <w:left w:val="none" w:sz="0" w:space="0" w:color="auto"/>
                                            <w:bottom w:val="none" w:sz="0" w:space="0" w:color="auto"/>
                                            <w:right w:val="none" w:sz="0" w:space="0" w:color="auto"/>
                                          </w:divBdr>
                                          <w:divsChild>
                                            <w:div w:id="61025138">
                                              <w:marLeft w:val="0"/>
                                              <w:marRight w:val="0"/>
                                              <w:marTop w:val="0"/>
                                              <w:marBottom w:val="0"/>
                                              <w:divBdr>
                                                <w:top w:val="none" w:sz="0" w:space="0" w:color="auto"/>
                                                <w:left w:val="none" w:sz="0" w:space="0" w:color="auto"/>
                                                <w:bottom w:val="none" w:sz="0" w:space="0" w:color="auto"/>
                                                <w:right w:val="none" w:sz="0" w:space="0" w:color="auto"/>
                                              </w:divBdr>
                                              <w:divsChild>
                                                <w:div w:id="20131004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0E245-54EC-4904-B8F3-174D4E1E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1842</Words>
  <Characters>10136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aybar</dc:creator>
  <cp:keywords/>
  <dc:description/>
  <cp:lastModifiedBy>luis aybar</cp:lastModifiedBy>
  <cp:revision>4</cp:revision>
  <dcterms:created xsi:type="dcterms:W3CDTF">2021-08-29T22:14:00Z</dcterms:created>
  <dcterms:modified xsi:type="dcterms:W3CDTF">2021-08-30T02:28:00Z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524b725b-ba17-3c13-a57b-5dc6624d3b09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