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55AE" w14:textId="77777777" w:rsidR="00A05560" w:rsidRPr="002D3962" w:rsidRDefault="0085046A" w:rsidP="002D3962">
      <w:pPr>
        <w:pStyle w:val="Title"/>
        <w:spacing w:before="240"/>
        <w:jc w:val="center"/>
        <w:rPr>
          <w:sz w:val="36"/>
        </w:rPr>
      </w:pPr>
      <w:r w:rsidRPr="002D3962">
        <w:rPr>
          <w:sz w:val="36"/>
        </w:rPr>
        <w:t xml:space="preserve">DATA SHARING AGREEMENT </w:t>
      </w:r>
    </w:p>
    <w:p w14:paraId="2E8CD71E" w14:textId="1381F7AE" w:rsidR="0085046A" w:rsidRDefault="0085046A" w:rsidP="0085046A">
      <w:pPr>
        <w:pStyle w:val="Title"/>
        <w:jc w:val="center"/>
        <w:rPr>
          <w:color w:val="70AD47" w:themeColor="accent6"/>
          <w:sz w:val="36"/>
        </w:rPr>
      </w:pPr>
      <w:r w:rsidRPr="002D3962">
        <w:rPr>
          <w:sz w:val="22"/>
          <w:szCs w:val="32"/>
        </w:rPr>
        <w:t>BETWEEN</w:t>
      </w:r>
      <w:r w:rsidRPr="002D3962">
        <w:rPr>
          <w:sz w:val="44"/>
        </w:rPr>
        <w:br/>
      </w:r>
      <w:r w:rsidR="009D4CA5">
        <w:rPr>
          <w:color w:val="4472C4" w:themeColor="accent5"/>
          <w:sz w:val="36"/>
        </w:rPr>
        <w:t>MOVE@UP</w:t>
      </w:r>
      <w:r w:rsidRPr="002D3962">
        <w:rPr>
          <w:sz w:val="44"/>
        </w:rPr>
        <w:br/>
      </w:r>
      <w:r w:rsidRPr="002D3962">
        <w:rPr>
          <w:sz w:val="22"/>
          <w:szCs w:val="32"/>
        </w:rPr>
        <w:t>AND</w:t>
      </w:r>
      <w:r w:rsidRPr="002D3962">
        <w:rPr>
          <w:sz w:val="22"/>
          <w:szCs w:val="32"/>
        </w:rPr>
        <w:br/>
      </w:r>
      <w:r w:rsidRPr="002D3962">
        <w:rPr>
          <w:color w:val="70AD47" w:themeColor="accent6"/>
          <w:sz w:val="36"/>
        </w:rPr>
        <w:t>[</w:t>
      </w:r>
      <w:r w:rsidR="00C050F1" w:rsidRPr="002D3962">
        <w:rPr>
          <w:color w:val="70AD47" w:themeColor="accent6"/>
          <w:sz w:val="36"/>
        </w:rPr>
        <w:t xml:space="preserve">REQUESTING </w:t>
      </w:r>
      <w:r w:rsidRPr="002D3962">
        <w:rPr>
          <w:color w:val="70AD47" w:themeColor="accent6"/>
          <w:sz w:val="36"/>
        </w:rPr>
        <w:t>ORGANIZATION]</w:t>
      </w:r>
    </w:p>
    <w:p w14:paraId="6C256ABE" w14:textId="77777777" w:rsidR="002D3962" w:rsidRPr="002D3962" w:rsidRDefault="002D3962" w:rsidP="002D3962"/>
    <w:p w14:paraId="727CFAD9" w14:textId="32B0CF48" w:rsidR="0085046A" w:rsidRDefault="0085046A" w:rsidP="005D14BD">
      <w:pPr>
        <w:pStyle w:val="Heading1"/>
        <w:numPr>
          <w:ilvl w:val="0"/>
          <w:numId w:val="3"/>
        </w:numPr>
      </w:pPr>
      <w:r>
        <w:t>Purpose</w:t>
      </w:r>
      <w:r w:rsidR="00EA0750">
        <w:t xml:space="preserve"> </w:t>
      </w:r>
      <w:r w:rsidR="00E24722">
        <w:t>for Data S</w:t>
      </w:r>
      <w:r w:rsidR="00814876">
        <w:t>h</w:t>
      </w:r>
      <w:r w:rsidR="00E24722">
        <w:t>aring</w:t>
      </w:r>
    </w:p>
    <w:p w14:paraId="72D1F464" w14:textId="0F89B41A" w:rsidR="00E24722" w:rsidRDefault="009D4CA5" w:rsidP="00E24722">
      <w:r>
        <w:t xml:space="preserve">This agreement establishes the terms and conditions under which [requesting organization] can acquire and use data from MOVE@UP. Either party may be a provider of data to the other, or a recipient of data from the other party. This sharing initiative is to mutually benefit </w:t>
      </w:r>
      <w:r w:rsidR="005D14BD">
        <w:t>all</w:t>
      </w:r>
      <w:r>
        <w:t xml:space="preserve"> parties</w:t>
      </w:r>
      <w:r w:rsidR="005D14BD">
        <w:t xml:space="preserve"> involved in </w:t>
      </w:r>
      <w:r>
        <w:t>the GMT320 module’s project over the course of the 2023 second semester</w:t>
      </w:r>
      <w:r w:rsidR="00E24722">
        <w:t>.</w:t>
      </w:r>
    </w:p>
    <w:p w14:paraId="74939C6D" w14:textId="487FEAE7" w:rsidR="00E24722" w:rsidRPr="009D4CA5" w:rsidRDefault="00E24722" w:rsidP="009D4CA5">
      <w:r w:rsidRPr="00E24722">
        <w:t>The purpose of this D</w:t>
      </w:r>
      <w:r>
        <w:t xml:space="preserve">ata </w:t>
      </w:r>
      <w:r w:rsidRPr="00E24722">
        <w:t>S</w:t>
      </w:r>
      <w:r>
        <w:t xml:space="preserve">haring </w:t>
      </w:r>
      <w:r w:rsidRPr="00E24722">
        <w:t>A</w:t>
      </w:r>
      <w:r>
        <w:t>greement</w:t>
      </w:r>
      <w:r w:rsidRPr="00E24722">
        <w:t xml:space="preserve"> is to identify, describe and protect the Confidential Information that will be shared between the Parties.</w:t>
      </w:r>
      <w:r>
        <w:t xml:space="preserve"> This Data Sharing Agreement only provides authorization for the use of the shared data in the GMT 320 Module.</w:t>
      </w:r>
    </w:p>
    <w:p w14:paraId="6A5B4DC6" w14:textId="5E2438CE" w:rsidR="00EA0750" w:rsidRDefault="00EA0750" w:rsidP="005D14BD">
      <w:pPr>
        <w:pStyle w:val="Heading1"/>
        <w:numPr>
          <w:ilvl w:val="0"/>
          <w:numId w:val="3"/>
        </w:numPr>
      </w:pPr>
      <w:r>
        <w:t>Duration of Agreement</w:t>
      </w:r>
    </w:p>
    <w:p w14:paraId="296C9481" w14:textId="53EF42EF" w:rsidR="00A35539" w:rsidRPr="007E28E4" w:rsidRDefault="00A35539" w:rsidP="00BD5F4C">
      <w:r w:rsidRPr="007E28E4">
        <w:t>This agreement wil</w:t>
      </w:r>
      <w:r w:rsidR="00532B3C">
        <w:t xml:space="preserve">l commence at midnight on </w:t>
      </w:r>
      <w:r w:rsidR="005D14BD">
        <w:t>24</w:t>
      </w:r>
      <w:r w:rsidR="00532B3C">
        <w:t>/</w:t>
      </w:r>
      <w:r w:rsidR="005D14BD">
        <w:t>08</w:t>
      </w:r>
      <w:r w:rsidR="00532B3C">
        <w:t>/</w:t>
      </w:r>
      <w:r w:rsidR="005D14BD">
        <w:t>2023</w:t>
      </w:r>
      <w:r w:rsidRPr="007E28E4">
        <w:t xml:space="preserve">. This agreement will remain in place for </w:t>
      </w:r>
      <w:r w:rsidR="005D14BD">
        <w:t>the duration of the second semester of 2023</w:t>
      </w:r>
      <w:r w:rsidR="00BD5F4C">
        <w:t>, during which all parties are participating and enrolled in GMT 320 Project</w:t>
      </w:r>
      <w:r w:rsidRPr="007E28E4">
        <w:t xml:space="preserve"> (</w:t>
      </w:r>
      <w:r w:rsidR="00BD5F4C">
        <w:t>77 Days</w:t>
      </w:r>
      <w:r w:rsidRPr="007E28E4">
        <w:t>) until terminated by either party.</w:t>
      </w:r>
      <w:r w:rsidR="00E24722">
        <w:t xml:space="preserve"> </w:t>
      </w:r>
    </w:p>
    <w:p w14:paraId="4589D21C" w14:textId="2DF75398" w:rsidR="005C2FA0" w:rsidRDefault="005C2FA0" w:rsidP="005D14BD">
      <w:pPr>
        <w:pStyle w:val="Heading1"/>
        <w:numPr>
          <w:ilvl w:val="0"/>
          <w:numId w:val="3"/>
        </w:numPr>
      </w:pPr>
      <w:r>
        <w:t>Description of Data</w:t>
      </w:r>
    </w:p>
    <w:p w14:paraId="050CDC1E" w14:textId="0CA7D1D1" w:rsidR="00BD5F4C" w:rsidRDefault="00BD5F4C" w:rsidP="00BD5F4C">
      <w:r>
        <w:t>Digitized University of Pretoria Hatfield Campus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512"/>
        <w:gridCol w:w="2126"/>
        <w:gridCol w:w="2285"/>
      </w:tblGrid>
      <w:tr w:rsidR="00BD5F4C" w14:paraId="64FE10C8" w14:textId="77777777" w:rsidTr="00BD5F4C">
        <w:tc>
          <w:tcPr>
            <w:tcW w:w="2427" w:type="dxa"/>
          </w:tcPr>
          <w:p w14:paraId="6DCB0571" w14:textId="58BAAD74" w:rsidR="00BD5F4C" w:rsidRPr="00BD5F4C" w:rsidRDefault="00BD5F4C" w:rsidP="00BD5F4C">
            <w:pPr>
              <w:rPr>
                <w:b/>
                <w:bCs/>
              </w:rPr>
            </w:pPr>
            <w:r w:rsidRPr="00BD5F4C">
              <w:rPr>
                <w:b/>
                <w:bCs/>
              </w:rPr>
              <w:t>Variable Names</w:t>
            </w:r>
          </w:p>
        </w:tc>
        <w:tc>
          <w:tcPr>
            <w:tcW w:w="2512" w:type="dxa"/>
          </w:tcPr>
          <w:p w14:paraId="209CA38F" w14:textId="23874087" w:rsidR="00BD5F4C" w:rsidRPr="00BD5F4C" w:rsidRDefault="00BD5F4C" w:rsidP="00BD5F4C">
            <w:pPr>
              <w:rPr>
                <w:b/>
                <w:bCs/>
              </w:rPr>
            </w:pPr>
            <w:r w:rsidRPr="00BD5F4C">
              <w:rPr>
                <w:b/>
                <w:bCs/>
              </w:rPr>
              <w:t>Descriptions</w:t>
            </w:r>
          </w:p>
        </w:tc>
        <w:tc>
          <w:tcPr>
            <w:tcW w:w="2126" w:type="dxa"/>
          </w:tcPr>
          <w:p w14:paraId="7D59FB7C" w14:textId="1EEE0332" w:rsidR="00BD5F4C" w:rsidRPr="00BD5F4C" w:rsidRDefault="00BD5F4C" w:rsidP="00BD5F4C">
            <w:pPr>
              <w:rPr>
                <w:b/>
                <w:bCs/>
              </w:rPr>
            </w:pPr>
            <w:r>
              <w:rPr>
                <w:b/>
                <w:bCs/>
              </w:rPr>
              <w:t>Variable Attributes</w:t>
            </w:r>
          </w:p>
        </w:tc>
        <w:tc>
          <w:tcPr>
            <w:tcW w:w="2285" w:type="dxa"/>
          </w:tcPr>
          <w:p w14:paraId="343B60D1" w14:textId="0E94CBC5" w:rsidR="00BD5F4C" w:rsidRPr="00BD5F4C" w:rsidRDefault="00BD5F4C" w:rsidP="00BD5F4C">
            <w:pPr>
              <w:rPr>
                <w:b/>
                <w:bCs/>
              </w:rPr>
            </w:pPr>
            <w:r w:rsidRPr="00BD5F4C">
              <w:rPr>
                <w:b/>
                <w:bCs/>
              </w:rPr>
              <w:t>Data Type</w:t>
            </w:r>
          </w:p>
        </w:tc>
      </w:tr>
      <w:tr w:rsidR="00BD5F4C" w14:paraId="41103A70" w14:textId="77777777" w:rsidTr="00BD5F4C">
        <w:tc>
          <w:tcPr>
            <w:tcW w:w="2427" w:type="dxa"/>
          </w:tcPr>
          <w:p w14:paraId="01D6C737" w14:textId="572BEB36" w:rsidR="00BD5F4C" w:rsidRDefault="00BD5F4C" w:rsidP="00BD5F4C">
            <w:r>
              <w:t xml:space="preserve">Entrances </w:t>
            </w:r>
          </w:p>
        </w:tc>
        <w:tc>
          <w:tcPr>
            <w:tcW w:w="2512" w:type="dxa"/>
          </w:tcPr>
          <w:p w14:paraId="27A53471" w14:textId="2565F817" w:rsidR="00BD5F4C" w:rsidRDefault="00BD5F4C" w:rsidP="00BD5F4C">
            <w:r>
              <w:t>Point location of all the entrances of the University of Pretoria’s Hatfield Campus</w:t>
            </w:r>
          </w:p>
        </w:tc>
        <w:tc>
          <w:tcPr>
            <w:tcW w:w="2126" w:type="dxa"/>
          </w:tcPr>
          <w:p w14:paraId="60F23FBB" w14:textId="77777777" w:rsidR="00BD5F4C" w:rsidRDefault="00BD5F4C" w:rsidP="00BD5F4C">
            <w:r>
              <w:t xml:space="preserve">Entrance Name </w:t>
            </w:r>
          </w:p>
          <w:p w14:paraId="65F0AAA7" w14:textId="77777777" w:rsidR="00BD5F4C" w:rsidRDefault="00BD5F4C" w:rsidP="00BD5F4C">
            <w:r>
              <w:t>Entrance ID</w:t>
            </w:r>
          </w:p>
          <w:p w14:paraId="4574737B" w14:textId="05BCAF83" w:rsidR="00BD5F4C" w:rsidRDefault="00BD5F4C" w:rsidP="00BD5F4C">
            <w:r>
              <w:t xml:space="preserve">Coordinates </w:t>
            </w:r>
          </w:p>
        </w:tc>
        <w:tc>
          <w:tcPr>
            <w:tcW w:w="2285" w:type="dxa"/>
          </w:tcPr>
          <w:p w14:paraId="07D99405" w14:textId="36028BEE" w:rsidR="00BD5F4C" w:rsidRDefault="00C0532D" w:rsidP="00BD5F4C">
            <w:r>
              <w:t xml:space="preserve">Vector </w:t>
            </w:r>
            <w:r w:rsidR="00BD5F4C">
              <w:t>Point Data</w:t>
            </w:r>
          </w:p>
        </w:tc>
      </w:tr>
      <w:tr w:rsidR="00BD5F4C" w14:paraId="7213F56C" w14:textId="77777777" w:rsidTr="00BD5F4C">
        <w:tc>
          <w:tcPr>
            <w:tcW w:w="2427" w:type="dxa"/>
          </w:tcPr>
          <w:p w14:paraId="269EC47D" w14:textId="7CD2E294" w:rsidR="00BD5F4C" w:rsidRDefault="00BD5F4C" w:rsidP="00BD5F4C">
            <w:r>
              <w:t>Buildings</w:t>
            </w:r>
          </w:p>
        </w:tc>
        <w:tc>
          <w:tcPr>
            <w:tcW w:w="2512" w:type="dxa"/>
          </w:tcPr>
          <w:p w14:paraId="33E4B52B" w14:textId="167E5035" w:rsidR="00BD5F4C" w:rsidRDefault="00BD5F4C" w:rsidP="00BD5F4C">
            <w:r>
              <w:t>Digitized polygons of the locations of the buildings present on the Hatfield campus within the University of Pretoria’s property</w:t>
            </w:r>
          </w:p>
        </w:tc>
        <w:tc>
          <w:tcPr>
            <w:tcW w:w="2126" w:type="dxa"/>
          </w:tcPr>
          <w:p w14:paraId="7A349DB9" w14:textId="77777777" w:rsidR="00BD5F4C" w:rsidRDefault="00BD5F4C" w:rsidP="00BD5F4C">
            <w:r>
              <w:t>Building Name</w:t>
            </w:r>
          </w:p>
          <w:p w14:paraId="7CE777FF" w14:textId="77777777" w:rsidR="00BD5F4C" w:rsidRDefault="00BD5F4C" w:rsidP="00BD5F4C">
            <w:r>
              <w:t>Building ID</w:t>
            </w:r>
          </w:p>
          <w:p w14:paraId="695AFD49" w14:textId="050E0292" w:rsidR="00BD5F4C" w:rsidRDefault="00BD5F4C" w:rsidP="00BD5F4C">
            <w:r>
              <w:t xml:space="preserve">Coordinate </w:t>
            </w:r>
          </w:p>
        </w:tc>
        <w:tc>
          <w:tcPr>
            <w:tcW w:w="2285" w:type="dxa"/>
          </w:tcPr>
          <w:p w14:paraId="68071094" w14:textId="167F323D" w:rsidR="00BD5F4C" w:rsidRDefault="00C0532D" w:rsidP="00BD5F4C">
            <w:r>
              <w:t xml:space="preserve">Vector </w:t>
            </w:r>
            <w:r w:rsidR="00BD5F4C">
              <w:t xml:space="preserve">Polygon Data </w:t>
            </w:r>
          </w:p>
        </w:tc>
      </w:tr>
      <w:tr w:rsidR="00BD5F4C" w14:paraId="55359D1A" w14:textId="77777777" w:rsidTr="00BD5F4C">
        <w:tc>
          <w:tcPr>
            <w:tcW w:w="2427" w:type="dxa"/>
          </w:tcPr>
          <w:p w14:paraId="02BB3383" w14:textId="31A4C1CA" w:rsidR="00BD5F4C" w:rsidRDefault="00BD5F4C" w:rsidP="00BD5F4C">
            <w:r>
              <w:t xml:space="preserve">Parking </w:t>
            </w:r>
          </w:p>
        </w:tc>
        <w:tc>
          <w:tcPr>
            <w:tcW w:w="2512" w:type="dxa"/>
          </w:tcPr>
          <w:p w14:paraId="62B3E50E" w14:textId="2E18B2B0" w:rsidR="00BD5F4C" w:rsidRDefault="00BD5F4C" w:rsidP="00BD5F4C">
            <w:r>
              <w:t xml:space="preserve">Digitized polygons of the locations of the </w:t>
            </w:r>
            <w:r>
              <w:t>parking facilities</w:t>
            </w:r>
            <w:r>
              <w:t xml:space="preserve"> present on the Hatfield campus </w:t>
            </w:r>
            <w:r w:rsidR="00C0532D">
              <w:t>under ownership of</w:t>
            </w:r>
            <w:r>
              <w:t xml:space="preserve"> the University of Pretoria’s property</w:t>
            </w:r>
          </w:p>
        </w:tc>
        <w:tc>
          <w:tcPr>
            <w:tcW w:w="2126" w:type="dxa"/>
          </w:tcPr>
          <w:p w14:paraId="77850403" w14:textId="77777777" w:rsidR="00BD5F4C" w:rsidRDefault="00C0532D" w:rsidP="00BD5F4C">
            <w:r>
              <w:t xml:space="preserve">Parking Lot Name </w:t>
            </w:r>
          </w:p>
          <w:p w14:paraId="42A8956E" w14:textId="77777777" w:rsidR="00C0532D" w:rsidRDefault="00C0532D" w:rsidP="00BD5F4C">
            <w:r>
              <w:t>Parking Lot ID</w:t>
            </w:r>
          </w:p>
          <w:p w14:paraId="28A60087" w14:textId="3FB70F1F" w:rsidR="00C0532D" w:rsidRDefault="00C0532D" w:rsidP="00BD5F4C">
            <w:r>
              <w:t>Coordinates</w:t>
            </w:r>
          </w:p>
        </w:tc>
        <w:tc>
          <w:tcPr>
            <w:tcW w:w="2285" w:type="dxa"/>
          </w:tcPr>
          <w:p w14:paraId="2A673A55" w14:textId="6D3E3580" w:rsidR="00BD5F4C" w:rsidRDefault="00C0532D" w:rsidP="00BD5F4C">
            <w:r>
              <w:t>Vector Polygon Data</w:t>
            </w:r>
          </w:p>
        </w:tc>
      </w:tr>
      <w:tr w:rsidR="00BD5F4C" w14:paraId="77A2AEB8" w14:textId="77777777" w:rsidTr="00BD5F4C">
        <w:tc>
          <w:tcPr>
            <w:tcW w:w="2427" w:type="dxa"/>
          </w:tcPr>
          <w:p w14:paraId="04D8E091" w14:textId="56417988" w:rsidR="00BD5F4C" w:rsidRDefault="00C0532D" w:rsidP="00BD5F4C">
            <w:r>
              <w:lastRenderedPageBreak/>
              <w:t>Paths and Pathways</w:t>
            </w:r>
          </w:p>
        </w:tc>
        <w:tc>
          <w:tcPr>
            <w:tcW w:w="2512" w:type="dxa"/>
          </w:tcPr>
          <w:p w14:paraId="0F2BC04B" w14:textId="13568204" w:rsidR="00BD5F4C" w:rsidRDefault="00C0532D" w:rsidP="00BD5F4C">
            <w:r>
              <w:t>Locations and routes of all the available pathways to individuals on the Hatfield campus at the University of Pretoria</w:t>
            </w:r>
          </w:p>
        </w:tc>
        <w:tc>
          <w:tcPr>
            <w:tcW w:w="2126" w:type="dxa"/>
          </w:tcPr>
          <w:p w14:paraId="6B00517E" w14:textId="77777777" w:rsidR="00BD5F4C" w:rsidRDefault="00C0532D" w:rsidP="00BD5F4C">
            <w:r>
              <w:t xml:space="preserve">Path Name </w:t>
            </w:r>
          </w:p>
          <w:p w14:paraId="4F5AF84F" w14:textId="77777777" w:rsidR="00C0532D" w:rsidRDefault="00C0532D" w:rsidP="00BD5F4C">
            <w:r>
              <w:t>Path ID</w:t>
            </w:r>
          </w:p>
          <w:p w14:paraId="54C67333" w14:textId="16C64C4D" w:rsidR="00C0532D" w:rsidRDefault="00C0532D" w:rsidP="00BD5F4C"/>
        </w:tc>
        <w:tc>
          <w:tcPr>
            <w:tcW w:w="2285" w:type="dxa"/>
          </w:tcPr>
          <w:p w14:paraId="1C7CB7C5" w14:textId="232073C4" w:rsidR="00BD5F4C" w:rsidRDefault="00C0532D" w:rsidP="00BD5F4C">
            <w:r>
              <w:t xml:space="preserve">Vector Line Data </w:t>
            </w:r>
          </w:p>
        </w:tc>
      </w:tr>
      <w:tr w:rsidR="00C0532D" w14:paraId="6F488A4F" w14:textId="77777777" w:rsidTr="00C231DC">
        <w:tc>
          <w:tcPr>
            <w:tcW w:w="2427" w:type="dxa"/>
          </w:tcPr>
          <w:p w14:paraId="28B083CE" w14:textId="3DBF2AC2" w:rsidR="00C0532D" w:rsidRDefault="00C0532D" w:rsidP="00C231DC">
            <w:r>
              <w:t>Roads</w:t>
            </w:r>
          </w:p>
        </w:tc>
        <w:tc>
          <w:tcPr>
            <w:tcW w:w="2512" w:type="dxa"/>
          </w:tcPr>
          <w:p w14:paraId="16BD40FE" w14:textId="4BDC9AE1" w:rsidR="00C0532D" w:rsidRDefault="00C0532D" w:rsidP="00C231DC">
            <w:r>
              <w:t xml:space="preserve">The roads on that pass through the University of Pretoria’s Hatfield Campus on which a vehicle, such as a car, </w:t>
            </w:r>
            <w:proofErr w:type="gramStart"/>
            <w:r>
              <w:t>is able to</w:t>
            </w:r>
            <w:proofErr w:type="gramEnd"/>
            <w:r>
              <w:t xml:space="preserve"> drive </w:t>
            </w:r>
          </w:p>
        </w:tc>
        <w:tc>
          <w:tcPr>
            <w:tcW w:w="2126" w:type="dxa"/>
          </w:tcPr>
          <w:p w14:paraId="785F713C" w14:textId="77777777" w:rsidR="00C0532D" w:rsidRDefault="00C0532D" w:rsidP="00C231DC">
            <w:r>
              <w:t xml:space="preserve">Road Name </w:t>
            </w:r>
          </w:p>
          <w:p w14:paraId="02552057" w14:textId="77777777" w:rsidR="00C0532D" w:rsidRDefault="00C0532D" w:rsidP="00C231DC">
            <w:r>
              <w:t>Road ID</w:t>
            </w:r>
          </w:p>
          <w:p w14:paraId="75730ADD" w14:textId="31DD59E8" w:rsidR="00C0532D" w:rsidRDefault="00C0532D" w:rsidP="00C231DC"/>
        </w:tc>
        <w:tc>
          <w:tcPr>
            <w:tcW w:w="2285" w:type="dxa"/>
          </w:tcPr>
          <w:p w14:paraId="5974C222" w14:textId="72BF1085" w:rsidR="00C0532D" w:rsidRDefault="00C0532D" w:rsidP="00C231DC">
            <w:r>
              <w:t>Vector Line Data</w:t>
            </w:r>
          </w:p>
        </w:tc>
      </w:tr>
      <w:tr w:rsidR="00C0532D" w14:paraId="17EEF9B2" w14:textId="77777777" w:rsidTr="00B84AE4">
        <w:tc>
          <w:tcPr>
            <w:tcW w:w="2427" w:type="dxa"/>
          </w:tcPr>
          <w:p w14:paraId="4C92A312" w14:textId="77777777" w:rsidR="00C0532D" w:rsidRDefault="00C0532D" w:rsidP="00B84AE4">
            <w:r>
              <w:t>Retail and dining facilities</w:t>
            </w:r>
          </w:p>
        </w:tc>
        <w:tc>
          <w:tcPr>
            <w:tcW w:w="2512" w:type="dxa"/>
          </w:tcPr>
          <w:p w14:paraId="3086C9AC" w14:textId="77777777" w:rsidR="00C0532D" w:rsidRDefault="00C0532D" w:rsidP="00B84AE4">
            <w:r>
              <w:t>The location of facilities where goods can be purchased such as food, and merchandise</w:t>
            </w:r>
          </w:p>
        </w:tc>
        <w:tc>
          <w:tcPr>
            <w:tcW w:w="2126" w:type="dxa"/>
          </w:tcPr>
          <w:p w14:paraId="3DF3A70C" w14:textId="77777777" w:rsidR="00C0532D" w:rsidRDefault="00C0532D" w:rsidP="00B84AE4">
            <w:r>
              <w:t xml:space="preserve">Facility Name </w:t>
            </w:r>
          </w:p>
          <w:p w14:paraId="475C4FD9" w14:textId="77777777" w:rsidR="00C0532D" w:rsidRDefault="00C0532D" w:rsidP="00B84AE4">
            <w:r>
              <w:t xml:space="preserve">Facility Type </w:t>
            </w:r>
          </w:p>
          <w:p w14:paraId="3B702587" w14:textId="77777777" w:rsidR="00C0532D" w:rsidRDefault="00C0532D" w:rsidP="00B84AE4">
            <w:r>
              <w:t>Facility ID</w:t>
            </w:r>
          </w:p>
          <w:p w14:paraId="585C82E2" w14:textId="77777777" w:rsidR="00C0532D" w:rsidRDefault="00C0532D" w:rsidP="00B84AE4">
            <w:r>
              <w:t>Facility Location</w:t>
            </w:r>
          </w:p>
        </w:tc>
        <w:tc>
          <w:tcPr>
            <w:tcW w:w="2285" w:type="dxa"/>
          </w:tcPr>
          <w:p w14:paraId="701605F2" w14:textId="2D138F63" w:rsidR="00C0532D" w:rsidRDefault="00C0532D" w:rsidP="00B84AE4">
            <w:r>
              <w:t>Vector Point</w:t>
            </w:r>
            <w:r>
              <w:t xml:space="preserve"> Data</w:t>
            </w:r>
          </w:p>
        </w:tc>
      </w:tr>
      <w:tr w:rsidR="00BD5F4C" w14:paraId="200F9554" w14:textId="77777777" w:rsidTr="00BD5F4C">
        <w:tc>
          <w:tcPr>
            <w:tcW w:w="2427" w:type="dxa"/>
          </w:tcPr>
          <w:p w14:paraId="4449BD37" w14:textId="233D50A3" w:rsidR="00BD5F4C" w:rsidRDefault="00C0532D" w:rsidP="00BD5F4C">
            <w:r>
              <w:t>Toilets</w:t>
            </w:r>
          </w:p>
        </w:tc>
        <w:tc>
          <w:tcPr>
            <w:tcW w:w="2512" w:type="dxa"/>
          </w:tcPr>
          <w:p w14:paraId="5BECCAB5" w14:textId="075B1199" w:rsidR="00BD5F4C" w:rsidRDefault="00C0532D" w:rsidP="00BD5F4C">
            <w:r>
              <w:t xml:space="preserve">The point locations of all the ablution facilities on the Hatfield Campus of the University of Pretoria </w:t>
            </w:r>
          </w:p>
        </w:tc>
        <w:tc>
          <w:tcPr>
            <w:tcW w:w="2126" w:type="dxa"/>
          </w:tcPr>
          <w:p w14:paraId="0DAF7A30" w14:textId="77777777" w:rsidR="00BD5F4C" w:rsidRDefault="00C0532D" w:rsidP="00BD5F4C">
            <w:r>
              <w:t>Toilet ID</w:t>
            </w:r>
          </w:p>
          <w:p w14:paraId="4C9D7DC8" w14:textId="4AEFD111" w:rsidR="00C0532D" w:rsidRDefault="00C0532D" w:rsidP="00BD5F4C">
            <w:r>
              <w:t>Toilet Location</w:t>
            </w:r>
          </w:p>
        </w:tc>
        <w:tc>
          <w:tcPr>
            <w:tcW w:w="2285" w:type="dxa"/>
          </w:tcPr>
          <w:p w14:paraId="262978E4" w14:textId="2C7B9938" w:rsidR="00BD5F4C" w:rsidRDefault="00C0532D" w:rsidP="00BD5F4C">
            <w:r>
              <w:t>Vector Point Data</w:t>
            </w:r>
          </w:p>
        </w:tc>
      </w:tr>
      <w:tr w:rsidR="00E24722" w14:paraId="4E5FE1E3" w14:textId="77777777" w:rsidTr="00BD5F4C">
        <w:tc>
          <w:tcPr>
            <w:tcW w:w="2427" w:type="dxa"/>
          </w:tcPr>
          <w:p w14:paraId="2F526897" w14:textId="11CB3C02" w:rsidR="00E24722" w:rsidRDefault="00E24722" w:rsidP="00E24722">
            <w:r>
              <w:t>Wheelchair Toilets</w:t>
            </w:r>
          </w:p>
        </w:tc>
        <w:tc>
          <w:tcPr>
            <w:tcW w:w="2512" w:type="dxa"/>
          </w:tcPr>
          <w:p w14:paraId="0783227B" w14:textId="6E5FB919" w:rsidR="00E24722" w:rsidRDefault="00E24722" w:rsidP="00E24722">
            <w:r>
              <w:t>The point locations of all the ablution facilities on the Hatfield Campus of the University of Pretoria</w:t>
            </w:r>
            <w:r>
              <w:t xml:space="preserve"> that have wheelchair access and facilities </w:t>
            </w:r>
            <w:r>
              <w:t xml:space="preserve"> </w:t>
            </w:r>
          </w:p>
        </w:tc>
        <w:tc>
          <w:tcPr>
            <w:tcW w:w="2126" w:type="dxa"/>
          </w:tcPr>
          <w:p w14:paraId="7859DA48" w14:textId="77777777" w:rsidR="00E24722" w:rsidRDefault="00E24722" w:rsidP="00E24722">
            <w:r>
              <w:t>Wheelchair Toilet ID</w:t>
            </w:r>
          </w:p>
          <w:p w14:paraId="4CCE6FF2" w14:textId="4A59E674" w:rsidR="00E24722" w:rsidRDefault="00E24722" w:rsidP="00E24722">
            <w:r>
              <w:t>Wheelchair Toilet Location</w:t>
            </w:r>
          </w:p>
        </w:tc>
        <w:tc>
          <w:tcPr>
            <w:tcW w:w="2285" w:type="dxa"/>
          </w:tcPr>
          <w:p w14:paraId="26A977A6" w14:textId="4C7CFCBE" w:rsidR="00E24722" w:rsidRDefault="00E24722" w:rsidP="00E24722">
            <w:r>
              <w:t xml:space="preserve">Vector Point Data </w:t>
            </w:r>
          </w:p>
        </w:tc>
      </w:tr>
    </w:tbl>
    <w:p w14:paraId="4A2F8554" w14:textId="77777777" w:rsidR="00BD5F4C" w:rsidRPr="00BD5F4C" w:rsidRDefault="00BD5F4C" w:rsidP="00BD5F4C"/>
    <w:p w14:paraId="7DF911C3" w14:textId="77777777" w:rsidR="005C2FA0" w:rsidRDefault="00A35539" w:rsidP="005D14BD">
      <w:pPr>
        <w:pStyle w:val="Heading1"/>
        <w:numPr>
          <w:ilvl w:val="0"/>
          <w:numId w:val="3"/>
        </w:numPr>
      </w:pPr>
      <w:r>
        <w:t>Data Access</w:t>
      </w:r>
    </w:p>
    <w:p w14:paraId="69A5E96B" w14:textId="723A4E79" w:rsidR="00E24722" w:rsidRDefault="00E24722" w:rsidP="00E24722">
      <w:pPr>
        <w:pStyle w:val="ListParagraph"/>
        <w:numPr>
          <w:ilvl w:val="1"/>
          <w:numId w:val="3"/>
        </w:numPr>
      </w:pPr>
      <w:r w:rsidRPr="00E24722">
        <w:t>The Data being shared is owned by the Disclosing Party that created it. In some cases, the Data may represent Confidential Information of multiple Disclosing Parties</w:t>
      </w:r>
    </w:p>
    <w:p w14:paraId="1E70BEB3" w14:textId="23F6F421" w:rsidR="00E24722" w:rsidRDefault="00E24722" w:rsidP="00E24722">
      <w:pPr>
        <w:pStyle w:val="ListParagraph"/>
        <w:numPr>
          <w:ilvl w:val="1"/>
          <w:numId w:val="3"/>
        </w:numPr>
      </w:pPr>
      <w:r>
        <w:t xml:space="preserve">This </w:t>
      </w:r>
      <w:r w:rsidRPr="00E24722">
        <w:t>D</w:t>
      </w:r>
      <w:r>
        <w:t xml:space="preserve">ata </w:t>
      </w:r>
      <w:r w:rsidRPr="00E24722">
        <w:t>S</w:t>
      </w:r>
      <w:r>
        <w:t xml:space="preserve">haring </w:t>
      </w:r>
      <w:r w:rsidRPr="00E24722">
        <w:t>A</w:t>
      </w:r>
      <w:r>
        <w:t>greement</w:t>
      </w:r>
      <w:r w:rsidRPr="00E24722">
        <w:t xml:space="preserve"> </w:t>
      </w:r>
      <w:r>
        <w:t xml:space="preserve">does not constitute a release of the Data for the Receiving Party’s discretionary use. Receiving Party must use the Data received or accessed under this </w:t>
      </w:r>
      <w:r w:rsidRPr="00E24722">
        <w:t>D</w:t>
      </w:r>
      <w:r>
        <w:t xml:space="preserve">ata </w:t>
      </w:r>
      <w:r w:rsidRPr="00E24722">
        <w:t>S</w:t>
      </w:r>
      <w:r>
        <w:t xml:space="preserve">haring </w:t>
      </w:r>
      <w:r w:rsidRPr="00E24722">
        <w:t>A</w:t>
      </w:r>
      <w:r>
        <w:t>greement</w:t>
      </w:r>
      <w:r w:rsidRPr="00E24722">
        <w:t xml:space="preserve"> </w:t>
      </w:r>
      <w:r>
        <w:t xml:space="preserve">only to carry out the purpose and justification of this agreement as set out in section </w:t>
      </w:r>
      <w:r>
        <w:t>I</w:t>
      </w:r>
      <w:r>
        <w:t xml:space="preserve">, Purpose Data Sharing. Any analysis, use, or reporting that is not within the Purpose of this </w:t>
      </w:r>
      <w:r w:rsidRPr="00E24722">
        <w:t>D</w:t>
      </w:r>
      <w:r>
        <w:t xml:space="preserve">ata </w:t>
      </w:r>
      <w:r w:rsidRPr="00E24722">
        <w:t>S</w:t>
      </w:r>
      <w:r>
        <w:t xml:space="preserve">haring </w:t>
      </w:r>
      <w:r w:rsidRPr="00E24722">
        <w:t>A</w:t>
      </w:r>
      <w:r>
        <w:t>greement</w:t>
      </w:r>
      <w:r w:rsidRPr="00E24722">
        <w:t xml:space="preserve"> </w:t>
      </w:r>
      <w:r>
        <w:t>is not permitted</w:t>
      </w:r>
      <w:r>
        <w:t xml:space="preserve"> (i.e., outside of the scope of the module GMT 320)</w:t>
      </w:r>
    </w:p>
    <w:p w14:paraId="7000AF5E" w14:textId="77777777" w:rsidR="00814876" w:rsidRDefault="00E24722" w:rsidP="00E24722">
      <w:pPr>
        <w:pStyle w:val="ListParagraph"/>
        <w:numPr>
          <w:ilvl w:val="1"/>
          <w:numId w:val="3"/>
        </w:numPr>
      </w:pPr>
      <w:r>
        <w:t>The parties that will have access to the data in question</w:t>
      </w:r>
      <w:r w:rsidR="00814876">
        <w:t xml:space="preserve">, must be enrolled in the module GMT 320, and each member of the group is required to sign the </w:t>
      </w:r>
      <w:r w:rsidR="00814876" w:rsidRPr="00E24722">
        <w:t>D</w:t>
      </w:r>
      <w:r w:rsidR="00814876">
        <w:t xml:space="preserve">ata </w:t>
      </w:r>
      <w:r w:rsidR="00814876" w:rsidRPr="00E24722">
        <w:t>S</w:t>
      </w:r>
      <w:r w:rsidR="00814876">
        <w:t xml:space="preserve">haring </w:t>
      </w:r>
      <w:r w:rsidR="00814876" w:rsidRPr="00E24722">
        <w:t>A</w:t>
      </w:r>
      <w:r w:rsidR="00814876">
        <w:t>greement</w:t>
      </w:r>
      <w:r w:rsidR="00814876">
        <w:t xml:space="preserve"> prior to data utilization.</w:t>
      </w:r>
    </w:p>
    <w:p w14:paraId="79F58810" w14:textId="77777777" w:rsidR="00814876" w:rsidRDefault="00814876" w:rsidP="00814876">
      <w:pPr>
        <w:pStyle w:val="ListParagraph"/>
        <w:numPr>
          <w:ilvl w:val="1"/>
          <w:numId w:val="3"/>
        </w:numPr>
      </w:pPr>
      <w:r w:rsidRPr="00ED1725">
        <w:t>The terms of this agreement remain binding on any information shared and retained throughout its lifecycle, irrespective of whether the party remains a current signatory to this agreement.</w:t>
      </w:r>
    </w:p>
    <w:p w14:paraId="45D01CD3" w14:textId="1AB90FF6" w:rsidR="00A35539" w:rsidRDefault="00814876" w:rsidP="00814876">
      <w:pPr>
        <w:pStyle w:val="Heading1"/>
        <w:numPr>
          <w:ilvl w:val="0"/>
          <w:numId w:val="3"/>
        </w:numPr>
      </w:pPr>
      <w:r>
        <w:lastRenderedPageBreak/>
        <w:t>Terms and Conditions of Data Usage</w:t>
      </w:r>
    </w:p>
    <w:p w14:paraId="2D466733" w14:textId="3B084520" w:rsidR="00814876" w:rsidRDefault="00814876" w:rsidP="00814876">
      <w:pPr>
        <w:pStyle w:val="ListParagraph"/>
        <w:numPr>
          <w:ilvl w:val="1"/>
          <w:numId w:val="3"/>
        </w:numPr>
      </w:pPr>
      <w:r>
        <w:t xml:space="preserve">Once the receiving party has access to MOVE@UP’s dataset, should MOVE@UP request any of their data generated or compiled, it must be presented and handed over in a timely manner, that is agreed on by both parties. </w:t>
      </w:r>
    </w:p>
    <w:p w14:paraId="6CE6A718" w14:textId="77777777" w:rsidR="004C41EB" w:rsidRPr="004C41EB" w:rsidRDefault="004C41EB" w:rsidP="004C41EB">
      <w:pPr>
        <w:pStyle w:val="ListParagraph"/>
        <w:numPr>
          <w:ilvl w:val="1"/>
          <w:numId w:val="3"/>
        </w:numPr>
      </w:pPr>
      <w:r w:rsidRPr="004C41EB">
        <w:t>The data recipient will not release data to a third party without prior approval from the data provider.</w:t>
      </w:r>
    </w:p>
    <w:p w14:paraId="58874B6A" w14:textId="77777777" w:rsidR="004C41EB" w:rsidRPr="004C41EB" w:rsidRDefault="004C41EB" w:rsidP="004C41EB">
      <w:pPr>
        <w:pStyle w:val="ListParagraph"/>
        <w:numPr>
          <w:ilvl w:val="1"/>
          <w:numId w:val="3"/>
        </w:numPr>
      </w:pPr>
      <w:r w:rsidRPr="004C41EB">
        <w:t>The data recipient will not release data to a third party without prior approval from the data provider.</w:t>
      </w:r>
    </w:p>
    <w:p w14:paraId="49BF7B7A" w14:textId="77777777" w:rsidR="004C41EB" w:rsidRPr="00814876" w:rsidRDefault="004C41EB" w:rsidP="00814876">
      <w:pPr>
        <w:pStyle w:val="ListParagraph"/>
        <w:numPr>
          <w:ilvl w:val="1"/>
          <w:numId w:val="3"/>
        </w:numPr>
      </w:pPr>
    </w:p>
    <w:p w14:paraId="605125D6" w14:textId="3553622A" w:rsidR="00814876" w:rsidRDefault="0085046A" w:rsidP="00814876">
      <w:pPr>
        <w:pStyle w:val="Heading1"/>
        <w:numPr>
          <w:ilvl w:val="0"/>
          <w:numId w:val="3"/>
        </w:numPr>
      </w:pPr>
      <w:r>
        <w:t>Termination</w:t>
      </w:r>
      <w:r w:rsidR="00A05560">
        <w:t xml:space="preserve"> (of </w:t>
      </w:r>
      <w:r w:rsidR="00077F27">
        <w:t>Agreement</w:t>
      </w:r>
      <w:r w:rsidR="00A05560">
        <w:t>)</w:t>
      </w:r>
    </w:p>
    <w:p w14:paraId="7CDC9743" w14:textId="4B1F9DE3" w:rsidR="00814876" w:rsidRDefault="00814876" w:rsidP="00814876">
      <w:pPr>
        <w:pStyle w:val="ListParagraph"/>
        <w:numPr>
          <w:ilvl w:val="1"/>
          <w:numId w:val="3"/>
        </w:numPr>
      </w:pPr>
      <w:r>
        <w:t xml:space="preserve">Should the requesting party fail to produce their data upon request of MOVE@UP, this contract will be terminated </w:t>
      </w:r>
      <w:r w:rsidR="004C41EB">
        <w:t>upon immediate effect and the data that was previously shared will be deleted and removed from the respective projects by the Requesting organization.</w:t>
      </w:r>
    </w:p>
    <w:p w14:paraId="615404AE" w14:textId="09AA2E5A" w:rsidR="004C41EB" w:rsidRPr="00814876" w:rsidRDefault="004C41EB" w:rsidP="00814876">
      <w:pPr>
        <w:pStyle w:val="ListParagraph"/>
        <w:numPr>
          <w:ilvl w:val="1"/>
          <w:numId w:val="3"/>
        </w:numPr>
      </w:pPr>
      <w:r>
        <w:t xml:space="preserve">All data transferred to </w:t>
      </w:r>
      <w:r>
        <w:t xml:space="preserve">requesting party </w:t>
      </w:r>
      <w:r>
        <w:t xml:space="preserve">shall remain the property of </w:t>
      </w:r>
      <w:r>
        <w:t>MOVE@UP</w:t>
      </w:r>
      <w:r>
        <w:t xml:space="preserve"> and shall be returned to </w:t>
      </w:r>
      <w:r>
        <w:t>MOVE@UP</w:t>
      </w:r>
      <w:r>
        <w:t xml:space="preserve"> upon termination of the </w:t>
      </w:r>
      <w:r>
        <w:t>Agreements.</w:t>
      </w:r>
    </w:p>
    <w:p w14:paraId="78DF37B9" w14:textId="662B8B7F" w:rsidR="0085046A" w:rsidRDefault="0085046A" w:rsidP="005D14BD">
      <w:pPr>
        <w:pStyle w:val="Heading1"/>
        <w:numPr>
          <w:ilvl w:val="0"/>
          <w:numId w:val="3"/>
        </w:numPr>
      </w:pPr>
      <w:r>
        <w:t>Paymen</w:t>
      </w:r>
      <w:r w:rsidR="004C41EB">
        <w:t>t</w:t>
      </w:r>
    </w:p>
    <w:p w14:paraId="672FFD19" w14:textId="234A9EAE" w:rsidR="004C41EB" w:rsidRPr="004C41EB" w:rsidRDefault="004C41EB" w:rsidP="004C41EB">
      <w:r>
        <w:t xml:space="preserve">Due to the nature of the projects that the shared data is being used for (a project in the Module GMT 320), there will be no monetary payment required. </w:t>
      </w:r>
    </w:p>
    <w:p w14:paraId="3D4CB3B9" w14:textId="77777777" w:rsidR="0085046A" w:rsidRDefault="0085046A" w:rsidP="00A05560">
      <w:pPr>
        <w:pStyle w:val="Heading1"/>
      </w:pPr>
      <w:r>
        <w:t>Signatures</w:t>
      </w:r>
    </w:p>
    <w:p w14:paraId="7FAE64D4" w14:textId="66E122F6" w:rsidR="004C41EB" w:rsidRPr="004C41EB" w:rsidRDefault="004C41EB" w:rsidP="004C41EB">
      <w:r>
        <w:t>Only the project managers are required to sign this agreement, on the understanding that the entire group is required to adhere to the agreement</w:t>
      </w:r>
    </w:p>
    <w:p w14:paraId="42978298" w14:textId="77777777" w:rsidR="00A05560" w:rsidRDefault="00A05560" w:rsidP="00A05560"/>
    <w:p w14:paraId="1C0EE8B0" w14:textId="77777777" w:rsidR="00A05560" w:rsidRDefault="00A05560" w:rsidP="00A05560">
      <w:pPr>
        <w:rPr>
          <w:b/>
        </w:rPr>
        <w:sectPr w:rsidR="00A0556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017A36" w14:textId="6B65A0DD" w:rsidR="00A05560" w:rsidRPr="00DF32A8" w:rsidRDefault="004C41EB" w:rsidP="00A05560">
      <w:pPr>
        <w:rPr>
          <w:b/>
          <w:color w:val="4472C4" w:themeColor="accent5"/>
        </w:rPr>
      </w:pPr>
      <w:r>
        <w:rPr>
          <w:b/>
          <w:color w:val="4472C4" w:themeColor="accent5"/>
        </w:rPr>
        <w:t>MOVE@UP</w:t>
      </w:r>
    </w:p>
    <w:p w14:paraId="6ABA2E06" w14:textId="77777777" w:rsidR="00A05560" w:rsidRPr="00A05560" w:rsidRDefault="00A05560" w:rsidP="00A05560"/>
    <w:p w14:paraId="0384962B" w14:textId="77777777" w:rsidR="00A05560" w:rsidRDefault="00A05560" w:rsidP="00A05560">
      <w:r>
        <w:t>_________________________________</w:t>
      </w:r>
      <w:r>
        <w:br/>
        <w:t>Signature</w:t>
      </w:r>
    </w:p>
    <w:p w14:paraId="1081AF03" w14:textId="77777777" w:rsidR="00A05560" w:rsidRDefault="00A05560" w:rsidP="00A05560"/>
    <w:p w14:paraId="1621C355" w14:textId="0B7A75D3" w:rsidR="00A05560" w:rsidRDefault="00A05560" w:rsidP="0085046A">
      <w:r>
        <w:t xml:space="preserve">_________________________________ </w:t>
      </w:r>
      <w:r>
        <w:br/>
        <w:t>Printed Name</w:t>
      </w:r>
    </w:p>
    <w:p w14:paraId="284F48C8" w14:textId="77777777" w:rsidR="00A05560" w:rsidRDefault="00A05560" w:rsidP="0085046A"/>
    <w:p w14:paraId="04A7DD47" w14:textId="34D91D38" w:rsidR="00A05560" w:rsidRPr="00A05560" w:rsidRDefault="00A05560" w:rsidP="00A05560">
      <w:pPr>
        <w:rPr>
          <w:b/>
        </w:rPr>
      </w:pPr>
      <w:r>
        <w:t xml:space="preserve">_________________________________ </w:t>
      </w:r>
      <w:r>
        <w:br/>
        <w:t>Date</w:t>
      </w:r>
      <w:r w:rsidR="00C050F1">
        <w:br w:type="column"/>
      </w:r>
      <w:r w:rsidRPr="00DF32A8">
        <w:rPr>
          <w:b/>
          <w:color w:val="70AD47" w:themeColor="accent6"/>
        </w:rPr>
        <w:t>[</w:t>
      </w:r>
      <w:r w:rsidR="00C050F1" w:rsidRPr="00DF32A8">
        <w:rPr>
          <w:b/>
          <w:color w:val="70AD47" w:themeColor="accent6"/>
        </w:rPr>
        <w:t>Requesting Organization</w:t>
      </w:r>
      <w:r w:rsidRPr="00DF32A8">
        <w:rPr>
          <w:b/>
          <w:color w:val="70AD47" w:themeColor="accent6"/>
        </w:rPr>
        <w:t>]</w:t>
      </w:r>
    </w:p>
    <w:p w14:paraId="36E09E3F" w14:textId="77777777" w:rsidR="00A05560" w:rsidRPr="00A05560" w:rsidRDefault="00A05560" w:rsidP="00A05560"/>
    <w:p w14:paraId="6223AC3A" w14:textId="77777777" w:rsidR="00A05560" w:rsidRDefault="00A05560" w:rsidP="00A05560">
      <w:r>
        <w:t>_________________________________</w:t>
      </w:r>
      <w:r>
        <w:br/>
        <w:t>Signature</w:t>
      </w:r>
    </w:p>
    <w:p w14:paraId="0D932901" w14:textId="77777777" w:rsidR="00A05560" w:rsidRDefault="00A05560" w:rsidP="00A05560"/>
    <w:p w14:paraId="6198CF79" w14:textId="77777777" w:rsidR="00A05560" w:rsidRDefault="00A05560" w:rsidP="00A05560">
      <w:r>
        <w:t xml:space="preserve">_________________________________ </w:t>
      </w:r>
      <w:r>
        <w:br/>
        <w:t>Printed Name</w:t>
      </w:r>
    </w:p>
    <w:p w14:paraId="3E5C3311" w14:textId="77777777" w:rsidR="00A05560" w:rsidRDefault="00A05560" w:rsidP="00A05560"/>
    <w:p w14:paraId="23A2E2D1" w14:textId="77777777" w:rsidR="00A05560" w:rsidRDefault="00A05560" w:rsidP="00A05560">
      <w:r>
        <w:t xml:space="preserve">_________________________________ </w:t>
      </w:r>
      <w:r>
        <w:br/>
        <w:t>Date</w:t>
      </w:r>
    </w:p>
    <w:p w14:paraId="1C2D1A80" w14:textId="77777777" w:rsidR="004C41EB" w:rsidRDefault="004C41EB" w:rsidP="00A05560"/>
    <w:p w14:paraId="03BCC481" w14:textId="77777777" w:rsidR="004C41EB" w:rsidRDefault="004C41EB" w:rsidP="00A05560"/>
    <w:p w14:paraId="79C04B04" w14:textId="50829144" w:rsidR="004C41EB" w:rsidRDefault="004C41EB" w:rsidP="00A05560">
      <w:pPr>
        <w:sectPr w:rsidR="004C41EB" w:rsidSect="00A055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E62224" w14:textId="77777777" w:rsidR="004C41EB" w:rsidRDefault="004C41EB" w:rsidP="007E28E4">
      <w:pPr>
        <w:rPr>
          <w:rStyle w:val="Strong"/>
        </w:rPr>
      </w:pPr>
    </w:p>
    <w:p w14:paraId="7179306E" w14:textId="77777777" w:rsidR="004C41EB" w:rsidRDefault="004C41EB" w:rsidP="007E28E4">
      <w:pPr>
        <w:rPr>
          <w:rStyle w:val="Strong"/>
        </w:rPr>
      </w:pPr>
    </w:p>
    <w:p w14:paraId="16E5B1CD" w14:textId="06B89001" w:rsidR="007E28E4" w:rsidRPr="004C41EB" w:rsidRDefault="006C6815" w:rsidP="007E28E4">
      <w:pPr>
        <w:rPr>
          <w:b/>
          <w:bCs/>
        </w:rPr>
      </w:pPr>
      <w:r w:rsidRPr="004C41EB">
        <w:br w:type="page"/>
      </w:r>
    </w:p>
    <w:sectPr w:rsidR="007E28E4" w:rsidRPr="004C41EB" w:rsidSect="00A055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C449" w14:textId="77777777" w:rsidR="0085046A" w:rsidRDefault="0085046A" w:rsidP="0085046A">
      <w:pPr>
        <w:spacing w:after="0" w:line="240" w:lineRule="auto"/>
      </w:pPr>
      <w:r>
        <w:separator/>
      </w:r>
    </w:p>
  </w:endnote>
  <w:endnote w:type="continuationSeparator" w:id="0">
    <w:p w14:paraId="41261E81" w14:textId="77777777" w:rsidR="0085046A" w:rsidRDefault="0085046A" w:rsidP="0085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8016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8FC41" w14:textId="7A231150" w:rsidR="0085046A" w:rsidRDefault="008504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21225" w14:textId="77777777" w:rsidR="0085046A" w:rsidRDefault="00850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B25C" w14:textId="77777777" w:rsidR="0085046A" w:rsidRDefault="0085046A" w:rsidP="0085046A">
      <w:pPr>
        <w:spacing w:after="0" w:line="240" w:lineRule="auto"/>
      </w:pPr>
      <w:r>
        <w:separator/>
      </w:r>
    </w:p>
  </w:footnote>
  <w:footnote w:type="continuationSeparator" w:id="0">
    <w:p w14:paraId="07E11F55" w14:textId="77777777" w:rsidR="0085046A" w:rsidRDefault="0085046A" w:rsidP="0085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0E3D" w14:textId="67FACDB1" w:rsidR="0085046A" w:rsidRPr="0085046A" w:rsidRDefault="009D4CA5">
    <w:pPr>
      <w:pStyle w:val="Header"/>
      <w:rPr>
        <w:color w:val="4472C4" w:themeColor="accent5"/>
      </w:rPr>
    </w:pPr>
    <w:r>
      <w:rPr>
        <w:color w:val="4472C4" w:themeColor="accent5"/>
      </w:rPr>
      <w:t>MOVE@UP</w:t>
    </w:r>
  </w:p>
  <w:p w14:paraId="7B6820CF" w14:textId="1BB20008" w:rsidR="0085046A" w:rsidRDefault="0085046A">
    <w:pPr>
      <w:pStyle w:val="Header"/>
    </w:pPr>
    <w:r>
      <w:t xml:space="preserve">Data Sharing Agreement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1400"/>
    <w:multiLevelType w:val="hybridMultilevel"/>
    <w:tmpl w:val="9E24459C"/>
    <w:lvl w:ilvl="0" w:tplc="5C2674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3DE1"/>
    <w:multiLevelType w:val="hybridMultilevel"/>
    <w:tmpl w:val="A290184A"/>
    <w:lvl w:ilvl="0" w:tplc="1676F6B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563C1" w:themeColor="hyperlink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A96A46"/>
    <w:multiLevelType w:val="hybridMultilevel"/>
    <w:tmpl w:val="24646804"/>
    <w:lvl w:ilvl="0" w:tplc="B19E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32EB0"/>
    <w:multiLevelType w:val="hybridMultilevel"/>
    <w:tmpl w:val="D1CC2164"/>
    <w:lvl w:ilvl="0" w:tplc="1F36C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01750">
    <w:abstractNumId w:val="3"/>
  </w:num>
  <w:num w:numId="2" w16cid:durableId="188492751">
    <w:abstractNumId w:val="1"/>
  </w:num>
  <w:num w:numId="3" w16cid:durableId="1250192860">
    <w:abstractNumId w:val="2"/>
  </w:num>
  <w:num w:numId="4" w16cid:durableId="13850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6A"/>
    <w:rsid w:val="00077F27"/>
    <w:rsid w:val="001E2298"/>
    <w:rsid w:val="002B1553"/>
    <w:rsid w:val="002D3962"/>
    <w:rsid w:val="00362A5D"/>
    <w:rsid w:val="00470A1F"/>
    <w:rsid w:val="004C41EB"/>
    <w:rsid w:val="00532B3C"/>
    <w:rsid w:val="00560A4C"/>
    <w:rsid w:val="00566AD1"/>
    <w:rsid w:val="005C2FA0"/>
    <w:rsid w:val="005D14BD"/>
    <w:rsid w:val="006C6815"/>
    <w:rsid w:val="007E28E4"/>
    <w:rsid w:val="00814876"/>
    <w:rsid w:val="0085046A"/>
    <w:rsid w:val="009D4CA5"/>
    <w:rsid w:val="00A05560"/>
    <w:rsid w:val="00A35539"/>
    <w:rsid w:val="00BD5F4C"/>
    <w:rsid w:val="00C050F1"/>
    <w:rsid w:val="00C0532D"/>
    <w:rsid w:val="00CE07C0"/>
    <w:rsid w:val="00CF0B81"/>
    <w:rsid w:val="00DF32A8"/>
    <w:rsid w:val="00E24722"/>
    <w:rsid w:val="00E80EB4"/>
    <w:rsid w:val="00E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81960"/>
  <w15:chartTrackingRefBased/>
  <w15:docId w15:val="{3BE37632-26CA-40C1-ABA5-1488B705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46A"/>
  </w:style>
  <w:style w:type="paragraph" w:styleId="Footer">
    <w:name w:val="footer"/>
    <w:basedOn w:val="Normal"/>
    <w:link w:val="FooterChar"/>
    <w:uiPriority w:val="99"/>
    <w:unhideWhenUsed/>
    <w:rsid w:val="0085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6A"/>
  </w:style>
  <w:style w:type="paragraph" w:customStyle="1" w:styleId="TemplateBody">
    <w:name w:val="Template Body"/>
    <w:basedOn w:val="Normal"/>
    <w:qFormat/>
    <w:rsid w:val="0085046A"/>
    <w:pPr>
      <w:spacing w:after="200" w:line="276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396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0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55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2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28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2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C68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paragraphChar">
    <w:name w:val="H1_paragraph Char"/>
    <w:link w:val="H1paragraph"/>
    <w:locked/>
    <w:rsid w:val="00E24722"/>
    <w:rPr>
      <w:rFonts w:ascii="Calibri" w:eastAsia="Calibri" w:hAnsi="Calibri" w:cstheme="minorHAnsi"/>
      <w:bCs/>
      <w:iCs/>
    </w:rPr>
  </w:style>
  <w:style w:type="paragraph" w:customStyle="1" w:styleId="H1paragraph">
    <w:name w:val="H1_paragraph"/>
    <w:basedOn w:val="Normal"/>
    <w:link w:val="H1paragraphChar"/>
    <w:autoRedefine/>
    <w:qFormat/>
    <w:rsid w:val="00E24722"/>
    <w:pPr>
      <w:spacing w:after="240" w:line="256" w:lineRule="auto"/>
      <w:ind w:left="792" w:right="-274" w:hanging="432"/>
    </w:pPr>
    <w:rPr>
      <w:rFonts w:ascii="Calibri" w:eastAsia="Calibri" w:hAnsi="Calibri" w:cstheme="minorHAnsi"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62175-303A-46D5-AC19-8FE98516A1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F500B-1514-4EB6-BE95-36966D94A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C8BD75-0564-4828-B3D9-D4CF7EECB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920E03-DA9D-4D91-9279-42F15321B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Elsen</dc:creator>
  <cp:keywords/>
  <dc:description/>
  <cp:lastModifiedBy>suzi spooner</cp:lastModifiedBy>
  <cp:revision>2</cp:revision>
  <dcterms:created xsi:type="dcterms:W3CDTF">2023-08-29T10:28:00Z</dcterms:created>
  <dcterms:modified xsi:type="dcterms:W3CDTF">2023-08-29T10:28:00Z</dcterms:modified>
</cp:coreProperties>
</file>