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x36x1se5d4az" w:id="0"/>
      <w:bookmarkEnd w:id="0"/>
      <w:r w:rsidDel="00000000" w:rsidR="00000000" w:rsidRPr="00000000">
        <w:rPr>
          <w:sz w:val="36"/>
          <w:szCs w:val="36"/>
          <w:rtl w:val="0"/>
        </w:rPr>
        <w:t xml:space="preserve">Discussion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From query 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The average gross enrollment ratio (GER) for male and female in all regions doesn’t vary by more than 5%. In most regions, the average for female is greater, and the greatest discrepancy between male and female is in latin america and the caribbean, where the average for female is 82.2095%, and 76.9616% for male. </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However, the minimum GER for some regions is much lower than others. For example, the lowest value is in sub-saharan africa, where the minimum female enrollment is only 0.1715%, and minimum male enrollment is 0.9605%.</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The highest pupil teacher ratio is 81.3105 and is in sub-saharan africa, and the lowest is 3.8571 in latin america and the caribbean. The average pupil teacher ratio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From query 3:</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All values tend to decrease as the education level increases. For example, the average male GER is 105.94 for Primary, 78.8609 for Secondary and 32.3436 for Tertiary.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From query 5:</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The average pupil-teacher ratio remained almost the same between the two year ranges for each education level. </w:t>
      </w:r>
    </w:p>
    <w:p w:rsidR="00000000" w:rsidDel="00000000" w:rsidP="00000000" w:rsidRDefault="00000000" w:rsidRPr="00000000" w14:paraId="00000012">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Both the male average GER and female average GER increased by about 3 from 2005-2010 to 2005-2010, but the female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From query 6:</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For most countries the expenditure did not change by a great percentage between the two year ranges. However, in the central african republic, the expenditure more than doubled (increased from 43.3952 to 101.142), and in djibouti, it quadrupled (increased from 19.0141 to 87.8685).</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Some countries had a significant drop in teachers. For example, in el salvador the amount of teachers dropped from 56,576 to only 9,104.</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