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line="240" w:lineRule="auto"/>
        <w:ind/>
        <w:rPr>
          <w:rFonts w:ascii="Lexend SemiBold" w:hAnsi="Lexend SemiBold" w:eastAsia="Lexend SemiBold" w:cs="Lexend SemiBold"/>
          <w:color w:val="07485a"/>
          <w:sz w:val="36"/>
          <w:szCs w:val="36"/>
        </w:rPr>
      </w:pPr>
      <w:r>
        <w:rPr>
          <w:rtl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114300" distB="114300" distL="114300" distR="114300" simplePos="0" relativeHeight="0" behindDoc="0" locked="0" layoutInCell="1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123825</wp:posOffset>
                </wp:positionV>
                <wp:extent cx="1185863" cy="1185863"/>
                <wp:effectExtent l="0" t="0" r="0" b="0"/>
                <wp:wrapSquare wrapText="bothSides"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1185863" cy="118586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0;o:allowoverlap:true;o:allowincell:true;mso-position-horizontal-relative:text;margin-left:0.00pt;mso-position-horizontal:absolute;mso-position-vertical-relative:text;margin-top:9.75pt;mso-position-vertical:absolute;width:93.38pt;height:93.38pt;mso-wrap-distance-left:9.00pt;mso-wrap-distance-top:9.00pt;mso-wrap-distance-right:9.00pt;mso-wrap-distance-bottom:9.00pt;z-index:1;">
                <w10:wrap type="square"/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Lexend SemiBold" w:hAnsi="Lexend SemiBold" w:eastAsia="Lexend SemiBold" w:cs="Lexend SemiBold"/>
          <w:color w:val="07485a"/>
          <w:sz w:val="36"/>
          <w:szCs w:val="36"/>
        </w:rPr>
      </w:r>
    </w:p>
    <w:p w14:paraId="00000002">
      <w:pPr>
        <w:pBdr/>
        <w:spacing w:line="240" w:lineRule="auto"/>
        <w:ind/>
        <w:rPr>
          <w:rFonts w:ascii="Lexend SemiBold" w:hAnsi="Lexend SemiBold" w:eastAsia="Lexend SemiBold" w:cs="Lexend SemiBold"/>
          <w:color w:val="07485a"/>
          <w:sz w:val="36"/>
          <w:szCs w:val="36"/>
        </w:rPr>
      </w:pPr>
      <w:r>
        <w:rPr>
          <w:rFonts w:ascii="Lexend SemiBold" w:hAnsi="Lexend SemiBold" w:eastAsia="Lexend SemiBold" w:cs="Lexend SemiBold"/>
          <w:color w:val="07485a"/>
          <w:sz w:val="36"/>
          <w:szCs w:val="36"/>
          <w:rtl w:val="0"/>
        </w:rPr>
        <w:t xml:space="preserve">MB Diagnostika d.o.o. </w:t>
      </w:r>
      <w:r>
        <w:rPr>
          <w:rFonts w:ascii="Lexend SemiBold" w:hAnsi="Lexend SemiBold" w:eastAsia="Lexend SemiBold" w:cs="Lexend SemiBold"/>
          <w:color w:val="07485a"/>
          <w:sz w:val="36"/>
          <w:szCs w:val="36"/>
        </w:rPr>
      </w:r>
    </w:p>
    <w:p w14:paraId="00000003">
      <w:pPr>
        <w:pBdr/>
        <w:spacing w:line="240" w:lineRule="auto"/>
        <w:ind/>
        <w:rPr>
          <w:color w:val="07485a"/>
        </w:rPr>
      </w:pPr>
      <w:r>
        <w:rPr>
          <w:color w:val="07485a"/>
          <w:rtl w:val="0"/>
        </w:rPr>
        <w:t xml:space="preserve">Medicinske storitve in diagnostika,</w:t>
      </w:r>
      <w:r>
        <w:rPr>
          <w:color w:val="07485a"/>
        </w:rPr>
      </w:r>
    </w:p>
    <w:p w14:paraId="00000004">
      <w:pPr>
        <w:pBdr/>
        <w:spacing/>
        <w:ind w:hanging="141"/>
        <w:rPr>
          <w:color w:val="07485a"/>
        </w:rPr>
      </w:pPr>
      <w:r>
        <w:rPr>
          <w:color w:val="07485a"/>
          <w:rtl w:val="0"/>
        </w:rPr>
        <w:t xml:space="preserve">Žirovnica 1c, 4274 Žirovnica</w:t>
      </w:r>
      <w:r>
        <w:rPr>
          <w:color w:val="07485a"/>
        </w:rPr>
      </w:r>
    </w:p>
    <w:p w14:paraId="00000005">
      <w:pPr>
        <w:pBdr/>
        <w:spacing/>
        <w:ind/>
        <w:rPr>
          <w:color w:val="07485a"/>
        </w:rPr>
      </w:pPr>
      <w:r/>
      <w:hyperlink r:id="rId12" w:tooltip="mailto:info@mb-diagnostika.si" w:history="1">
        <w:r>
          <w:rPr>
            <w:color w:val="07485a"/>
            <w:u w:val="single"/>
            <w:rtl w:val="0"/>
          </w:rPr>
          <w:t xml:space="preserve">info@mb-diagnostika.si</w:t>
        </w:r>
      </w:hyperlink>
      <w:r>
        <w:rPr>
          <w:rtl w:val="0"/>
        </w:rPr>
      </w:r>
      <w:r>
        <w:rPr>
          <w:color w:val="07485a"/>
        </w:rPr>
      </w:r>
    </w:p>
    <w:p w14:paraId="00000006">
      <w:pPr>
        <w:pBdr/>
        <w:spacing/>
        <w:ind/>
        <w:rPr>
          <w:color w:val="07485a"/>
        </w:rPr>
      </w:pPr>
      <w:r>
        <w:rPr>
          <w:color w:val="07485a"/>
          <w:rtl w:val="0"/>
        </w:rPr>
        <w:t xml:space="preserve">Tel: 041205848, 040473870</w:t>
      </w:r>
      <w:r>
        <w:rPr>
          <w:color w:val="07485a"/>
        </w:rPr>
      </w:r>
    </w:p>
    <w:p w14:paraId="00000007">
      <w:pPr>
        <w:pBdr/>
        <w:spacing/>
        <w:ind/>
        <w:rPr/>
      </w:pPr>
      <w:r>
        <w:rPr>
          <w:rtl w:val="0"/>
        </w:rPr>
      </w:r>
      <w:r/>
    </w:p>
    <w:p w14:paraId="00000008">
      <w:pPr>
        <w:pBdr/>
        <w:spacing/>
        <w:ind/>
        <w:rPr/>
      </w:pPr>
      <w:r>
        <w:rPr>
          <w:rtl w:val="0"/>
        </w:rPr>
      </w:r>
      <w:r/>
    </w:p>
    <w:p w14:paraId="14F8C304">
      <w:pPr>
        <w:pBdr/>
        <w:spacing/>
        <w:ind/>
        <w:rPr/>
      </w:pPr>
      <w:r>
        <w:rPr>
          <w:b/>
          <w:bCs/>
          <w:rtl w:val="0"/>
        </w:rPr>
        <w:t xml:space="preserve">Ponudba št:</w:t>
      </w:r>
      <w:r>
        <w:rPr>
          <w:rtl w:val="0"/>
        </w:rPr>
        <w:t xml:space="preserve"> </w:t>
        <w:tab/>
        <w:t xml:space="preserve">&lt;QUOTE&gt;</w:t>
      </w:r>
      <w:r/>
      <w:r/>
    </w:p>
    <w:p w14:paraId="3B407F15">
      <w:pPr>
        <w:pBdr/>
        <w:spacing/>
        <w:ind/>
        <w:rPr/>
      </w:pPr>
      <w:r>
        <w:rPr>
          <w:b/>
          <w:bCs/>
          <w:rtl w:val="0"/>
        </w:rPr>
        <w:t xml:space="preserve">Datum:</w:t>
      </w:r>
      <w:r>
        <w:rPr>
          <w:rtl w:val="0"/>
        </w:rPr>
        <w:t xml:space="preserve"> </w:t>
        <w:tab/>
        <w:t xml:space="preserve">&lt;DATE&gt;</w:t>
      </w:r>
      <w:r/>
      <w:r/>
    </w:p>
    <w:p w14:paraId="5B783EE9">
      <w:pPr>
        <w:pBdr/>
        <w:spacing/>
        <w:ind/>
        <w:rPr/>
      </w:pPr>
      <w:r>
        <w:rPr>
          <w:b/>
          <w:bCs/>
          <w:rtl w:val="0"/>
        </w:rPr>
        <w:t xml:space="preserve">Veljavnost:</w:t>
      </w:r>
      <w:r>
        <w:rPr>
          <w:rtl w:val="0"/>
        </w:rPr>
        <w:t xml:space="preserve"> </w:t>
        <w:tab/>
      </w:r>
      <w:r/>
      <w:r/>
    </w:p>
    <w:p w14:paraId="37B6F7AF">
      <w:pPr>
        <w:pBdr/>
        <w:spacing/>
        <w:ind/>
        <w:rPr/>
      </w:pPr>
      <w:r>
        <w:rPr>
          <w:rtl w:val="0"/>
        </w:rPr>
      </w:r>
      <w:r/>
      <w:r/>
    </w:p>
    <w:p w14:paraId="282FB989">
      <w:pPr>
        <w:pBdr/>
        <w:spacing/>
        <w:ind/>
        <w:rPr/>
      </w:pPr>
      <w:r>
        <w:rPr>
          <w:b/>
          <w:bCs/>
          <w:rtl w:val="0"/>
        </w:rPr>
        <w:t xml:space="preserve">Kupec: </w:t>
      </w:r>
      <w:r>
        <w:rPr>
          <w:rtl w:val="0"/>
        </w:rPr>
        <w:tab/>
        <w:t xml:space="preserve">&lt;C_NAME&gt;</w:t>
      </w:r>
      <w:r/>
      <w:r/>
    </w:p>
    <w:p w14:paraId="1388C618">
      <w:pPr>
        <w:pBdr/>
        <w:spacing/>
        <w:ind/>
        <w:rPr/>
      </w:pPr>
      <w:r>
        <w:rPr>
          <w:b/>
          <w:bCs/>
          <w:rtl w:val="0"/>
        </w:rPr>
        <w:t xml:space="preserve">Naslov: </w:t>
        <w:tab/>
      </w:r>
      <w:r>
        <w:rPr>
          <w:rtl w:val="0"/>
        </w:rPr>
        <w:t xml:space="preserve">&lt;C_ADDRESS&gt;</w:t>
      </w:r>
      <w:r>
        <w:rPr>
          <w:b/>
          <w:bCs/>
          <w:rtl w:val="0"/>
        </w:rPr>
        <w:br/>
        <w:t xml:space="preserve">Matična</w:t>
        <w:tab/>
      </w:r>
      <w:r>
        <w:rPr>
          <w:rtl w:val="0"/>
        </w:rPr>
        <w:t xml:space="preserve">&lt;C_ID&gt;</w:t>
      </w:r>
      <w:r/>
      <w:r/>
    </w:p>
    <w:p w14:paraId="01E1A274">
      <w:pPr>
        <w:pBdr/>
        <w:spacing/>
        <w:ind/>
        <w:rPr/>
      </w:pPr>
      <w:r>
        <w:rPr>
          <w:b/>
          <w:bCs/>
          <w:rtl w:val="0"/>
        </w:rPr>
        <w:t xml:space="preserve">ID za DDV: </w:t>
        <w:tab/>
      </w:r>
      <w:r>
        <w:rPr>
          <w:rtl w:val="0"/>
        </w:rPr>
        <w:t xml:space="preserve">&lt;C_VAT&gt;</w:t>
      </w:r>
      <w:r/>
      <w:r/>
      <w:r>
        <w:rPr>
          <w:b/>
          <w:bCs/>
          <w:rtl w:val="0"/>
        </w:rPr>
      </w:r>
      <w:r/>
      <w:r/>
    </w:p>
    <w:p w14:paraId="00000010">
      <w:pPr>
        <w:pBdr/>
        <w:spacing/>
        <w:ind/>
        <w:rPr/>
      </w:pPr>
      <w:r>
        <w:rPr>
          <w:rtl w:val="0"/>
        </w:rPr>
      </w:r>
      <w:r/>
    </w:p>
    <w:p w14:paraId="00000011">
      <w:pPr>
        <w:pBdr/>
        <w:spacing/>
        <w:ind/>
        <w:rPr/>
      </w:pPr>
      <w:r>
        <w:rPr>
          <w:rtl w:val="0"/>
        </w:rPr>
      </w:r>
      <w:r/>
    </w:p>
    <w:p w14:paraId="00000012">
      <w:pPr>
        <w:pBdr/>
        <w:spacing/>
        <w:ind w:right="-238"/>
        <w:rPr/>
      </w:pPr>
      <w:r>
        <w:rPr>
          <w:rtl w:val="0"/>
        </w:rPr>
        <w:t xml:space="preserve">Opombe:</w:t>
      </w:r>
      <w:r/>
    </w:p>
    <w:p w14:paraId="00000013">
      <w:pPr>
        <w:pBdr/>
        <w:spacing/>
        <w:ind w:right="-238" w:firstLine="0" w:left="720"/>
        <w:rPr/>
      </w:pPr>
      <w:r>
        <w:rPr>
          <w:rtl w:val="0"/>
        </w:rPr>
      </w:r>
      <w:r/>
    </w:p>
    <w:p w14:paraId="00000014">
      <w:pPr>
        <w:numPr>
          <w:ilvl w:val="0"/>
          <w:numId w:val="2"/>
        </w:numPr>
        <w:pBdr/>
        <w:spacing/>
        <w:ind w:right="-238" w:hanging="360" w:left="720"/>
        <w:rPr/>
      </w:pPr>
      <w:r>
        <w:rPr>
          <w:rtl w:val="0"/>
        </w:rPr>
        <w:t xml:space="preserve">vse cene so po 42. členu ZDDV-1 oproščene plačila DDV</w:t>
      </w:r>
      <w:r/>
    </w:p>
    <w:p w14:paraId="00000015">
      <w:pPr>
        <w:numPr>
          <w:ilvl w:val="0"/>
          <w:numId w:val="2"/>
        </w:numPr>
        <w:pBdr/>
        <w:spacing/>
        <w:ind w:hanging="360" w:left="720"/>
        <w:rPr/>
      </w:pPr>
      <w:r>
        <w:rPr>
          <w:rtl w:val="0"/>
        </w:rPr>
        <w:t xml:space="preserve">specifikacija osnovnih pregledov je na zadnji strani</w:t>
      </w:r>
      <w:r/>
    </w:p>
    <w:p w14:paraId="00000016">
      <w:pPr>
        <w:numPr>
          <w:ilvl w:val="0"/>
          <w:numId w:val="2"/>
        </w:numPr>
        <w:pBdr/>
        <w:spacing/>
        <w:ind w:hanging="360" w:left="720"/>
        <w:rPr/>
      </w:pPr>
      <w:r>
        <w:rPr>
          <w:rtl w:val="0"/>
        </w:rPr>
        <w:t xml:space="preserve">vse preiskave se izvedejo na lokaciji ambulante MB Diagnostika (Vurnikov Trg 4, Radovljica), z izjemo RTG prsnega koša in specialnih preiskav pri oftalmologu (termine uredimo mi)</w:t>
      </w:r>
      <w:r/>
    </w:p>
    <w:p w14:paraId="00000017">
      <w:pPr>
        <w:numPr>
          <w:ilvl w:val="0"/>
          <w:numId w:val="2"/>
        </w:numPr>
        <w:pBdr/>
        <w:spacing/>
        <w:ind w:hanging="360" w:left="720"/>
        <w:rPr/>
      </w:pPr>
      <w:r>
        <w:rPr>
          <w:rtl w:val="0"/>
        </w:rPr>
        <w:t xml:space="preserve">morebitne nenavedene dodatne preiskave glede na indikacije se obračunajo po veljavnem ceniku</w:t>
      </w:r>
      <w:r/>
    </w:p>
    <w:p w14:paraId="00000018">
      <w:pPr>
        <w:pBdr/>
        <w:spacing/>
        <w:ind w:right="-238" w:firstLine="0" w:left="720"/>
        <w:rPr/>
        <w:sectPr>
          <w:headerReference w:type="default" r:id="rId9"/>
          <w:footerReference w:type="default" r:id="rId10"/>
          <w:footnotePr/>
          <w:endnotePr/>
          <w:type w:val="nextPage"/>
          <w:pgSz w:h="16834" w:orient="portrait" w:w="11909"/>
          <w:pgMar w:top="1440" w:right="1440" w:bottom="1440" w:left="1440" w:header="720" w:footer="720" w:gutter="0"/>
          <w:pgNumType w:start="1"/>
          <w:cols w:num="1" w:sep="0" w:space="1701" w:equalWidth="1"/>
        </w:sectPr>
      </w:pPr>
      <w:r>
        <w:rPr>
          <w:rtl w:val="0"/>
        </w:rPr>
      </w:r>
      <w:r/>
    </w:p>
    <w:p w14:paraId="00000019">
      <w:pPr>
        <w:pBdr/>
        <w:spacing/>
        <w:ind/>
        <w:rPr/>
      </w:pPr>
      <w:r>
        <w:rPr>
          <w:rtl w:val="0"/>
        </w:rPr>
      </w:r>
      <w:r/>
    </w:p>
    <w:p w14:paraId="0000001A">
      <w:pPr>
        <w:pBdr/>
        <w:spacing/>
        <w:ind/>
        <w:rPr/>
      </w:pPr>
      <w:r>
        <w:rPr>
          <w:rtl w:val="0"/>
        </w:rPr>
      </w:r>
      <w:r/>
    </w:p>
    <w:p w14:paraId="0000001B">
      <w:pPr>
        <w:pBdr/>
        <w:spacing/>
        <w:ind/>
        <w:rPr/>
      </w:pPr>
      <w:r>
        <w:rPr>
          <w:rtl w:val="0"/>
        </w:rPr>
      </w:r>
      <w:r/>
    </w:p>
    <w:p w14:paraId="0000001C">
      <w:pPr>
        <w:pBdr/>
        <w:spacing/>
        <w:ind/>
        <w:rPr/>
        <w:sectPr>
          <w:footnotePr/>
          <w:endnotePr/>
          <w:type w:val="continuous"/>
          <w:pgSz w:h="16834" w:orient="portrait" w:w="11909"/>
          <w:pgMar w:top="1440" w:right="1440" w:bottom="1440" w:left="1440" w:header="720" w:footer="720" w:gutter="0"/>
          <w:cols w:num="1" w:sep="0" w:space="1701" w:equalWidth="1"/>
        </w:sectPr>
      </w:pPr>
      <w:r>
        <w:rPr>
          <w:rtl w:val="0"/>
        </w:rPr>
      </w:r>
      <w:r/>
    </w:p>
    <w:p w14:paraId="0000001D">
      <w:pPr>
        <w:pBdr/>
        <w:spacing/>
        <w:ind/>
        <w:rPr/>
        <w:sectPr>
          <w:footnotePr/>
          <w:endnotePr/>
          <w:type w:val="continuous"/>
          <w:pgSz w:h="16834" w:orient="portrait" w:w="11909"/>
          <w:pgMar w:top="1440" w:right="1440" w:bottom="1440" w:left="1440" w:header="720" w:footer="720" w:gutter="0"/>
          <w:cols w:num="1" w:sep="0" w:space="1701" w:equalWidth="0">
            <w:col w:w="9025" w:space="0"/>
          </w:cols>
        </w:sectPr>
      </w:pPr>
      <w:r>
        <w:rPr>
          <w:rtl w:val="0"/>
        </w:rPr>
        <w:t xml:space="preserve">Pripravil: Uroš Bernik, direktor</w:t>
      </w:r>
      <w:r/>
    </w:p>
    <w:p w14:paraId="0000001E">
      <w:pPr>
        <w:pBdr/>
        <w:spacing/>
        <w:ind/>
        <w:rPr/>
      </w:pPr>
      <w:r>
        <w:rPr>
          <w:rtl w:val="0"/>
        </w:rPr>
      </w:r>
      <w:r/>
    </w:p>
    <w:tbl>
      <w:tblPr>
        <w:tblStyle w:val="751"/>
        <w:tblW w:w="933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7185"/>
        <w:gridCol w:w="2145"/>
        <w:tblGridChange w:id="0">
          <w:tblGrid>
            <w:gridCol w:w="7185"/>
            <w:gridCol w:w="2145"/>
          </w:tblGrid>
        </w:tblGridChange>
      </w:tblGrid>
      <w:tr>
        <w:trPr>
          <w:cantSplit w:val="false"/>
        </w:trPr>
        <w:tc>
          <w:tcPr>
            <w:shd w:val="clear" w:color="auto" w:fill="06485a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F">
            <w:pPr>
              <w:widowControl w:val="false"/>
              <w:pBdr/>
              <w:spacing w:line="240" w:lineRule="auto"/>
              <w:ind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 xml:space="preserve">Storitev</w:t>
            </w:r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auto" w:fill="06485a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0">
            <w:pPr>
              <w:widowControl w:val="false"/>
              <w:pBdr/>
              <w:spacing w:line="240" w:lineRule="auto"/>
              <w:ind/>
              <w:jc w:val="right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 w:val="0"/>
              </w:rPr>
              <w:t xml:space="preserve">Cena s popustom</w:t>
            </w:r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c9daf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1"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  <w:vertAlign w:val="superscript"/>
              </w:rPr>
            </w:pPr>
            <w:r>
              <w:rPr>
                <w:sz w:val="20"/>
                <w:szCs w:val="20"/>
                <w:rtl w:val="0"/>
              </w:rPr>
              <w:t xml:space="preserve">Predhodni pregled, splošni </w:t>
            </w:r>
            <w:r>
              <w:rPr>
                <w:sz w:val="20"/>
                <w:szCs w:val="20"/>
                <w:vertAlign w:val="superscript"/>
                <w:rtl w:val="0"/>
              </w:rPr>
              <w:t xml:space="preserve">1</w:t>
            </w:r>
            <w:r>
              <w:rPr>
                <w:sz w:val="20"/>
                <w:szCs w:val="20"/>
                <w:vertAlign w:val="superscript"/>
              </w:rPr>
            </w:r>
          </w:p>
        </w:tc>
        <w:tc>
          <w:tcPr>
            <w:shd w:val="clear" w:color="auto" w:fill="c9daf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2">
            <w:pPr>
              <w:widowControl w:val="false"/>
              <w:pBdr/>
              <w:spacing w:line="240" w:lineRule="auto"/>
              <w:ind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97,94 EUR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cantSplit w:val="false"/>
          <w:trHeight w:val="424"/>
        </w:trPr>
        <w:tc>
          <w:tcPr>
            <w:shd w:val="clear" w:color="auto" w:fill="c9daf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3"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  <w:vertAlign w:val="superscript"/>
              </w:rPr>
            </w:pPr>
            <w:r>
              <w:rPr>
                <w:sz w:val="20"/>
                <w:szCs w:val="20"/>
                <w:rtl w:val="0"/>
              </w:rPr>
              <w:t xml:space="preserve">Obdobni pregled, splošni </w:t>
            </w:r>
            <w:r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>
              <w:rPr>
                <w:sz w:val="20"/>
                <w:szCs w:val="20"/>
                <w:vertAlign w:val="superscript"/>
              </w:rPr>
            </w:r>
          </w:p>
        </w:tc>
        <w:tc>
          <w:tcPr>
            <w:shd w:val="clear" w:color="auto" w:fill="c9daf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4">
            <w:pPr>
              <w:widowControl w:val="false"/>
              <w:pBdr/>
              <w:spacing w:line="240" w:lineRule="auto"/>
              <w:ind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91,30 EUR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cantSplit w:val="false"/>
          <w:trHeight w:val="424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5"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Spirometrija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6">
            <w:pPr>
              <w:widowControl w:val="false"/>
              <w:pBdr/>
              <w:spacing w:line="240" w:lineRule="auto"/>
              <w:ind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13,50 EUR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cantSplit w:val="false"/>
          <w:trHeight w:val="424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7"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Ob indikacijah ali zahtevah delovnega mesta lahko še: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8">
            <w:pPr>
              <w:widowControl w:val="false"/>
              <w:pBdr/>
              <w:spacing w:line="240" w:lineRule="auto"/>
              <w:ind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cantSplit w:val="false"/>
          <w:trHeight w:val="424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9"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Niktometrija (pregled kontrastnega vida)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A">
            <w:pPr>
              <w:widowControl w:val="false"/>
              <w:pBdr/>
              <w:spacing w:line="240" w:lineRule="auto"/>
              <w:ind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0,00 EUR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cantSplit w:val="false"/>
          <w:trHeight w:val="424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B"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Perimetrija (test vidnega polja)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C">
            <w:pPr>
              <w:widowControl w:val="false"/>
              <w:pBdr/>
              <w:spacing w:line="240" w:lineRule="auto"/>
              <w:ind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13.50 EUR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cantSplit w:val="false"/>
          <w:trHeight w:val="424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D"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Jetrni testi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E">
            <w:pPr>
              <w:widowControl w:val="false"/>
              <w:pBdr/>
              <w:spacing w:line="240" w:lineRule="auto"/>
              <w:ind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5,14 EUR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cantSplit w:val="false"/>
          <w:trHeight w:val="424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F"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% CDT *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0">
            <w:pPr>
              <w:widowControl w:val="false"/>
              <w:pBdr/>
              <w:spacing w:line="240" w:lineRule="auto"/>
              <w:ind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30,96 EUR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cantSplit w:val="false"/>
          <w:trHeight w:val="424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1"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Holesteroli (Holesterol, HDL, LDL, trigliceridi)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2">
            <w:pPr>
              <w:widowControl w:val="false"/>
              <w:pBdr/>
              <w:spacing w:line="240" w:lineRule="auto"/>
              <w:ind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7,00 EUR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cantSplit w:val="false"/>
          <w:trHeight w:val="424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3"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Sečnina in kreatinin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4">
            <w:pPr>
              <w:widowControl w:val="false"/>
              <w:pBdr/>
              <w:spacing w:line="240" w:lineRule="auto"/>
              <w:ind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3,28 EUR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cantSplit w:val="false"/>
          <w:trHeight w:val="424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5"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Test na droge, 12 panelni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6">
            <w:pPr>
              <w:widowControl w:val="false"/>
              <w:pBdr/>
              <w:spacing w:line="240" w:lineRule="auto"/>
              <w:ind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18,98 EUR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cantSplit w:val="false"/>
          <w:trHeight w:val="424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7"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Vestibulogram (ravnotežje, delo na višini)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8">
            <w:pPr>
              <w:widowControl w:val="false"/>
              <w:pBdr/>
              <w:spacing w:line="240" w:lineRule="auto"/>
              <w:ind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28.80 EUR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cantSplit w:val="false"/>
          <w:trHeight w:val="424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9"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ADG (detajlni pregled sluha)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A">
            <w:pPr>
              <w:widowControl w:val="false"/>
              <w:pBdr/>
              <w:spacing w:line="240" w:lineRule="auto"/>
              <w:ind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24,30 EUR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cantSplit w:val="false"/>
          <w:trHeight w:val="424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B"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Psihološki pregled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C">
            <w:pPr>
              <w:widowControl w:val="false"/>
              <w:pBdr/>
              <w:spacing w:line="240" w:lineRule="auto"/>
              <w:ind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45.00 EUR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cantSplit w:val="false"/>
          <w:trHeight w:val="424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D"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RTG pljuč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E">
            <w:pPr>
              <w:widowControl w:val="false"/>
              <w:pBdr/>
              <w:spacing w:line="240" w:lineRule="auto"/>
              <w:ind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50,00 EUR</w:t>
            </w:r>
            <w:r>
              <w:rPr>
                <w:b/>
                <w:bCs/>
                <w:sz w:val="20"/>
                <w:szCs w:val="20"/>
              </w:rPr>
            </w:r>
          </w:p>
        </w:tc>
      </w:tr>
    </w:tbl>
    <w:p w14:paraId="0000003F">
      <w:pPr>
        <w:pBdr/>
        <w:spacing/>
        <w:ind/>
        <w:rPr/>
      </w:pPr>
      <w:r>
        <w:rPr>
          <w:rtl w:val="0"/>
        </w:rPr>
      </w:r>
      <w:r/>
    </w:p>
    <w:p w14:paraId="00000040">
      <w:pPr>
        <w:pBdr/>
        <w:spacing/>
        <w:ind/>
        <w:rPr>
          <w:color w:val="222222"/>
          <w:sz w:val="18"/>
          <w:szCs w:val="18"/>
          <w:highlight w:val="white"/>
        </w:rPr>
        <w:sectPr>
          <w:footnotePr/>
          <w:endnotePr/>
          <w:type w:val="nextPage"/>
          <w:pgSz w:h="16834" w:orient="portrait" w:w="11909"/>
          <w:pgMar w:top="1440" w:right="1440" w:bottom="1440" w:left="1440" w:header="720" w:footer="720" w:gutter="0"/>
          <w:cols w:num="1" w:sep="0" w:space="1701" w:equalWidth="0">
            <w:col w:w="9025" w:space="0"/>
          </w:cols>
        </w:sectPr>
      </w:pPr>
      <w:r>
        <w:rPr>
          <w:color w:val="222222"/>
          <w:sz w:val="18"/>
          <w:szCs w:val="18"/>
          <w:highlight w:val="white"/>
          <w:rtl w:val="0"/>
        </w:rPr>
        <w:t xml:space="preserve">*v primeru patoloških jetrnih encimov se preveri še %CDT (sum na prekomerno </w:t>
      </w:r>
      <w:r>
        <w:rPr>
          <w:color w:val="222222"/>
          <w:sz w:val="18"/>
          <w:szCs w:val="18"/>
          <w:highlight w:val="white"/>
          <w:rtl w:val="0"/>
        </w:rPr>
        <w:t xml:space="preserve">tvegano uživanje alkohola) x = vedno, i = samo ob indikacijah, o = obdobno (ne vedno), op = ob obdobnem pregledu, pp = ob predhodnem pregledu, ADG v primeru, da so delavci izpostavljeni hrupu nad zakonsko določeno mejno vrednostjo oz. v primeru indikacije.</w:t>
      </w:r>
      <w:r>
        <w:rPr>
          <w:color w:val="222222"/>
          <w:sz w:val="18"/>
          <w:szCs w:val="18"/>
          <w:highlight w:val="white"/>
        </w:rPr>
      </w:r>
    </w:p>
    <w:p w14:paraId="00000041">
      <w:pPr>
        <w:pBdr/>
        <w:spacing/>
        <w:ind/>
        <w:rPr>
          <w:sz w:val="20"/>
          <w:szCs w:val="20"/>
        </w:rPr>
      </w:pPr>
      <w:r>
        <w:rPr>
          <w:rtl w:val="0"/>
        </w:rPr>
        <w:t xml:space="preserve">S</w:t>
      </w:r>
      <w:r>
        <w:rPr>
          <w:sz w:val="20"/>
          <w:szCs w:val="20"/>
          <w:rtl w:val="0"/>
        </w:rPr>
        <w:t xml:space="preserve">pecifikacija:</w:t>
      </w:r>
      <w:r>
        <w:rPr>
          <w:sz w:val="20"/>
          <w:szCs w:val="20"/>
        </w:rPr>
      </w:r>
    </w:p>
    <w:p w14:paraId="00000042">
      <w:pPr>
        <w:pBdr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43">
      <w:pPr>
        <w:pBdr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44">
      <w:pPr>
        <w:numPr>
          <w:ilvl w:val="0"/>
          <w:numId w:val="3"/>
        </w:numPr>
        <w:pBdr/>
        <w:spacing/>
        <w:ind w:hanging="36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Osnovni predhodni pregled</w:t>
      </w:r>
      <w:r>
        <w:rPr>
          <w:sz w:val="20"/>
          <w:szCs w:val="20"/>
        </w:rPr>
      </w:r>
    </w:p>
    <w:p w14:paraId="00000045">
      <w:pPr>
        <w:pBdr/>
        <w:spacing/>
        <w:ind w:firstLine="0" w:left="720"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46">
      <w:pPr>
        <w:pBdr/>
        <w:spacing/>
        <w:ind w:firstLine="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PPS - pregled pri specialistu medicine dela, prometa in športa</w:t>
      </w:r>
      <w:r>
        <w:rPr>
          <w:sz w:val="20"/>
          <w:szCs w:val="20"/>
        </w:rPr>
      </w:r>
    </w:p>
    <w:p w14:paraId="00000047">
      <w:pPr>
        <w:pBdr/>
        <w:spacing/>
        <w:ind w:firstLine="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PZD - pregled zdravstvene dokumentacije</w:t>
      </w:r>
      <w:r>
        <w:rPr>
          <w:sz w:val="20"/>
          <w:szCs w:val="20"/>
        </w:rPr>
      </w:r>
    </w:p>
    <w:p w14:paraId="00000048">
      <w:pPr>
        <w:pBdr/>
        <w:spacing/>
        <w:ind w:firstLine="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BIO - osnovna biometrija (višina, teža, krvni tlak,...)</w:t>
      </w:r>
      <w:r>
        <w:rPr>
          <w:sz w:val="20"/>
          <w:szCs w:val="20"/>
        </w:rPr>
      </w:r>
    </w:p>
    <w:p w14:paraId="00000049">
      <w:pPr>
        <w:pBdr/>
        <w:spacing/>
        <w:ind w:firstLine="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LABP - osnovne laboratorijske preiskave za predhodni pregled (glej spodaj)</w:t>
      </w:r>
      <w:r>
        <w:rPr>
          <w:sz w:val="20"/>
          <w:szCs w:val="20"/>
        </w:rPr>
      </w:r>
    </w:p>
    <w:p w14:paraId="0000004A">
      <w:pPr>
        <w:pBdr/>
        <w:spacing/>
        <w:ind w:firstLine="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VID - ostrina vida na blizu in daleč, forija, fuzija, barvni vid</w:t>
      </w:r>
      <w:r>
        <w:rPr>
          <w:sz w:val="20"/>
          <w:szCs w:val="20"/>
        </w:rPr>
      </w:r>
    </w:p>
    <w:p w14:paraId="0000004B">
      <w:pPr>
        <w:pBdr/>
        <w:spacing/>
        <w:ind w:firstLine="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SLH - testiranje sluha s šepetom</w:t>
      </w:r>
      <w:r>
        <w:rPr>
          <w:sz w:val="20"/>
          <w:szCs w:val="20"/>
        </w:rPr>
      </w:r>
    </w:p>
    <w:p w14:paraId="0000004C">
      <w:pPr>
        <w:pBdr/>
        <w:spacing/>
        <w:ind w:firstLine="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EKG - EKG v mirovanju</w:t>
      </w:r>
      <w:r>
        <w:rPr>
          <w:sz w:val="20"/>
          <w:szCs w:val="20"/>
        </w:rPr>
      </w:r>
    </w:p>
    <w:p w14:paraId="0000004D">
      <w:pPr>
        <w:pBdr/>
        <w:spacing/>
        <w:ind w:firstLine="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IZD - izdaja zdravniškega spričevala</w:t>
      </w:r>
      <w:r>
        <w:rPr>
          <w:sz w:val="20"/>
          <w:szCs w:val="20"/>
        </w:rPr>
      </w:r>
    </w:p>
    <w:p w14:paraId="0000004E">
      <w:pPr>
        <w:pBdr/>
        <w:spacing/>
        <w:ind w:firstLine="0" w:left="720"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4F">
      <w:pPr>
        <w:numPr>
          <w:ilvl w:val="0"/>
          <w:numId w:val="3"/>
        </w:numPr>
        <w:pBdr/>
        <w:spacing/>
        <w:ind w:hanging="36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Osnovni obdobni pregled</w:t>
      </w:r>
      <w:r>
        <w:rPr>
          <w:sz w:val="20"/>
          <w:szCs w:val="20"/>
        </w:rPr>
      </w:r>
    </w:p>
    <w:p w14:paraId="00000050">
      <w:pPr>
        <w:pBdr/>
        <w:spacing/>
        <w:ind w:firstLine="0" w:left="720"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51">
      <w:pPr>
        <w:pBdr/>
        <w:spacing/>
        <w:ind w:firstLine="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PPS - pregled pri specialistu medicine dela, prometa in športa</w:t>
      </w:r>
      <w:r>
        <w:rPr>
          <w:sz w:val="20"/>
          <w:szCs w:val="20"/>
        </w:rPr>
      </w:r>
    </w:p>
    <w:p w14:paraId="00000052">
      <w:pPr>
        <w:pBdr/>
        <w:spacing/>
        <w:ind w:firstLine="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PZD - pregled zdravstvene dokumentacije</w:t>
      </w:r>
      <w:r>
        <w:rPr>
          <w:sz w:val="20"/>
          <w:szCs w:val="20"/>
        </w:rPr>
      </w:r>
    </w:p>
    <w:p w14:paraId="00000053">
      <w:pPr>
        <w:pBdr/>
        <w:spacing/>
        <w:ind w:firstLine="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BIO - osnovna biometrija (višina, teža, krvni tlak,...)</w:t>
      </w:r>
      <w:r>
        <w:rPr>
          <w:sz w:val="20"/>
          <w:szCs w:val="20"/>
        </w:rPr>
      </w:r>
    </w:p>
    <w:p w14:paraId="00000054">
      <w:pPr>
        <w:pBdr/>
        <w:spacing/>
        <w:ind w:firstLine="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LABO - osnovne laboratorijske preiskave za predhodni pregled (glej spodaj)</w:t>
      </w:r>
      <w:r>
        <w:rPr>
          <w:sz w:val="20"/>
          <w:szCs w:val="20"/>
        </w:rPr>
      </w:r>
    </w:p>
    <w:p w14:paraId="00000055">
      <w:pPr>
        <w:pBdr/>
        <w:spacing/>
        <w:ind w:firstLine="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VID - ostrina vida na blizu in daleč, forija, fuzija, barvni vid</w:t>
      </w:r>
      <w:r>
        <w:rPr>
          <w:sz w:val="20"/>
          <w:szCs w:val="20"/>
        </w:rPr>
      </w:r>
    </w:p>
    <w:p w14:paraId="00000056">
      <w:pPr>
        <w:pBdr/>
        <w:spacing/>
        <w:ind w:firstLine="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SLH - testiranje sluha s šepetom</w:t>
      </w:r>
      <w:r>
        <w:rPr>
          <w:sz w:val="20"/>
          <w:szCs w:val="20"/>
        </w:rPr>
      </w:r>
    </w:p>
    <w:p w14:paraId="00000057">
      <w:pPr>
        <w:pBdr/>
        <w:spacing/>
        <w:ind w:firstLine="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EKG - EKG v mirovanju</w:t>
      </w:r>
      <w:r>
        <w:rPr>
          <w:sz w:val="20"/>
          <w:szCs w:val="20"/>
        </w:rPr>
      </w:r>
    </w:p>
    <w:p w14:paraId="00000058">
      <w:pPr>
        <w:pBdr/>
        <w:spacing/>
        <w:ind w:firstLine="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IZD - izdaja zdravniškega spričevala</w:t>
      </w:r>
      <w:r>
        <w:rPr>
          <w:sz w:val="20"/>
          <w:szCs w:val="20"/>
        </w:rPr>
      </w:r>
    </w:p>
    <w:p w14:paraId="00000059">
      <w:pPr>
        <w:pBdr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5A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rtl w:val="0"/>
        </w:rPr>
        <w:t xml:space="preserve">LABP - osnovni nabor testov, vključen v predhodni pregled, ki obsega</w:t>
      </w:r>
      <w:r>
        <w:rPr>
          <w:sz w:val="20"/>
          <w:szCs w:val="20"/>
        </w:rPr>
      </w:r>
    </w:p>
    <w:p w14:paraId="0000005B">
      <w:pPr>
        <w:pBdr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5C">
      <w:pPr>
        <w:numPr>
          <w:ilvl w:val="0"/>
          <w:numId w:val="1"/>
        </w:numPr>
        <w:pBdr/>
        <w:spacing/>
        <w:ind w:hanging="36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L, E, Hb, Ht. MCV (Hemogram + DKS)</w:t>
      </w:r>
      <w:r>
        <w:rPr>
          <w:sz w:val="20"/>
          <w:szCs w:val="20"/>
        </w:rPr>
      </w:r>
    </w:p>
    <w:p w14:paraId="0000005D">
      <w:pPr>
        <w:numPr>
          <w:ilvl w:val="0"/>
          <w:numId w:val="1"/>
        </w:numPr>
        <w:pBdr/>
        <w:spacing/>
        <w:ind w:hanging="36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SR (K - sedimentacija)</w:t>
      </w:r>
      <w:r>
        <w:rPr>
          <w:sz w:val="20"/>
          <w:szCs w:val="20"/>
        </w:rPr>
      </w:r>
    </w:p>
    <w:p w14:paraId="0000005E">
      <w:pPr>
        <w:numPr>
          <w:ilvl w:val="0"/>
          <w:numId w:val="1"/>
        </w:numPr>
        <w:pBdr/>
        <w:spacing/>
        <w:ind w:hanging="36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KS (S - Glukoza)</w:t>
      </w:r>
      <w:r>
        <w:rPr>
          <w:sz w:val="20"/>
          <w:szCs w:val="20"/>
        </w:rPr>
      </w:r>
    </w:p>
    <w:p w14:paraId="0000005F">
      <w:pPr>
        <w:numPr>
          <w:ilvl w:val="0"/>
          <w:numId w:val="1"/>
        </w:numPr>
        <w:pBdr/>
        <w:spacing/>
        <w:ind w:hanging="36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Urin (beljakovine, sladkor, bilirubin, urobilinogen, ph, specifična gostota, ketoni, nitriti, levkociti, eritrociti). Osnovna urinska analiza</w:t>
      </w:r>
      <w:r>
        <w:rPr>
          <w:sz w:val="20"/>
          <w:szCs w:val="20"/>
        </w:rPr>
      </w:r>
    </w:p>
    <w:p w14:paraId="00000060">
      <w:pPr>
        <w:numPr>
          <w:ilvl w:val="0"/>
          <w:numId w:val="1"/>
        </w:numPr>
        <w:pBdr/>
        <w:spacing/>
        <w:ind w:hanging="36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Odvzem venozni</w:t>
      </w:r>
      <w:r>
        <w:rPr>
          <w:sz w:val="20"/>
          <w:szCs w:val="20"/>
        </w:rPr>
      </w:r>
    </w:p>
    <w:p w14:paraId="00000061">
      <w:pPr>
        <w:numPr>
          <w:ilvl w:val="0"/>
          <w:numId w:val="1"/>
        </w:numPr>
        <w:pBdr/>
        <w:spacing/>
        <w:ind w:hanging="36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Odvzem urina, lonček</w:t>
      </w:r>
      <w:r>
        <w:rPr>
          <w:sz w:val="20"/>
          <w:szCs w:val="20"/>
        </w:rPr>
      </w:r>
    </w:p>
    <w:p w14:paraId="00000062">
      <w:pPr>
        <w:pBdr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63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rtl w:val="0"/>
        </w:rPr>
        <w:t xml:space="preserve">LABO - osnovni nabor testov vključen v obdobni pregled, ki obsega</w:t>
      </w:r>
      <w:r>
        <w:rPr>
          <w:sz w:val="20"/>
          <w:szCs w:val="20"/>
        </w:rPr>
      </w:r>
    </w:p>
    <w:p w14:paraId="00000064">
      <w:pPr>
        <w:pBdr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65">
      <w:pPr>
        <w:numPr>
          <w:ilvl w:val="0"/>
          <w:numId w:val="4"/>
        </w:numPr>
        <w:pBdr/>
        <w:spacing/>
        <w:ind w:hanging="36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L, E, Hb, Ht. MCV (Hemogram + DKS)</w:t>
      </w:r>
      <w:r>
        <w:rPr>
          <w:sz w:val="20"/>
          <w:szCs w:val="20"/>
        </w:rPr>
      </w:r>
    </w:p>
    <w:p w14:paraId="00000066">
      <w:pPr>
        <w:numPr>
          <w:ilvl w:val="0"/>
          <w:numId w:val="4"/>
        </w:numPr>
        <w:pBdr/>
        <w:spacing/>
        <w:ind w:hanging="36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KS (S - Glukoza)</w:t>
      </w:r>
      <w:r>
        <w:rPr>
          <w:sz w:val="20"/>
          <w:szCs w:val="20"/>
        </w:rPr>
      </w:r>
    </w:p>
    <w:p w14:paraId="00000067">
      <w:pPr>
        <w:numPr>
          <w:ilvl w:val="0"/>
          <w:numId w:val="4"/>
        </w:numPr>
        <w:pBdr/>
        <w:spacing/>
        <w:ind w:hanging="36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Urin, (beljakovine, sladkor, bilirubin, urobilinogen, ph, specifična gostota, ketoni, nitriti, levkociti, eritrociti). Osnovna urinska analiza</w:t>
      </w:r>
      <w:r>
        <w:rPr>
          <w:sz w:val="20"/>
          <w:szCs w:val="20"/>
        </w:rPr>
      </w:r>
    </w:p>
    <w:p w14:paraId="00000068">
      <w:pPr>
        <w:numPr>
          <w:ilvl w:val="0"/>
          <w:numId w:val="4"/>
        </w:numPr>
        <w:pBdr/>
        <w:spacing/>
        <w:ind w:hanging="36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Odvzem venozni</w:t>
      </w:r>
      <w:r>
        <w:rPr>
          <w:sz w:val="20"/>
          <w:szCs w:val="20"/>
        </w:rPr>
      </w:r>
    </w:p>
    <w:p w14:paraId="00000069">
      <w:pPr>
        <w:numPr>
          <w:ilvl w:val="0"/>
          <w:numId w:val="4"/>
        </w:numPr>
        <w:pBdr/>
        <w:spacing/>
        <w:ind w:hanging="360" w:left="72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Odvzem urina, lonček</w:t>
      </w:r>
      <w:r>
        <w:rPr>
          <w:rtl w:val="0"/>
        </w:rPr>
      </w:r>
      <w:r>
        <w:rPr>
          <w:sz w:val="20"/>
          <w:szCs w:val="20"/>
        </w:rPr>
      </w:r>
    </w:p>
    <w:sectPr>
      <w:footnotePr/>
      <w:endnotePr/>
      <w:type w:val="nextPage"/>
      <w:pgSz w:h="16834" w:orient="portrait" w:w="11909"/>
      <w:pgMar w:top="566" w:right="1133" w:bottom="566" w:left="1133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exend SemiBold">
    <w:panose1 w:val="020005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A">
    <w:pPr>
      <w:pBdr/>
      <w:spacing/>
      <w:ind w:right="-466" w:hanging="283"/>
      <w:jc w:val="center"/>
      <w:rPr>
        <w:color w:val="999999"/>
        <w:sz w:val="20"/>
        <w:szCs w:val="20"/>
      </w:rPr>
    </w:pPr>
    <w:r>
      <w:rPr>
        <w:rtl w:val="0"/>
      </w:rPr>
    </w:r>
    <w:r>
      <w:rPr>
        <w:color w:val="999999"/>
        <w:sz w:val="20"/>
        <w:szCs w:val="20"/>
      </w:rPr>
    </w:r>
  </w:p>
  <w:p w14:paraId="0000006B">
    <w:pPr>
      <w:pBdr/>
      <w:spacing/>
      <w:ind w:right="-466" w:hanging="283"/>
      <w:jc w:val="center"/>
      <w:rPr>
        <w:color w:val="999999"/>
        <w:sz w:val="20"/>
        <w:szCs w:val="20"/>
      </w:rPr>
    </w:pPr>
    <w:r>
      <w:pict>
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</w:pict>
    </w:r>
    <w:r>
      <w:rPr>
        <w:rtl w:val="0"/>
      </w:rPr>
    </w:r>
    <w:r>
      <w:rPr>
        <w:color w:val="999999"/>
        <w:sz w:val="20"/>
        <w:szCs w:val="20"/>
      </w:rPr>
    </w:r>
  </w:p>
  <w:p w14:paraId="0000006C">
    <w:pPr>
      <w:pBdr/>
      <w:spacing/>
      <w:ind w:right="-466" w:hanging="283"/>
      <w:jc w:val="center"/>
      <w:rPr>
        <w:color w:val="999999"/>
        <w:sz w:val="20"/>
        <w:szCs w:val="20"/>
      </w:rPr>
    </w:pPr>
    <w:r>
      <w:rPr>
        <w:color w:val="999999"/>
        <w:sz w:val="20"/>
        <w:szCs w:val="20"/>
        <w:rtl w:val="0"/>
      </w:rPr>
      <w:t xml:space="preserve">MB Diagnostika d.o.o. Žirovnica 1c, 4274 Žirovnica | Ambulanta: Vurnikov Trg 4, 4240 Radovljica</w:t>
    </w:r>
    <w:r>
      <w:rPr>
        <w:color w:val="999999"/>
        <w:sz w:val="20"/>
        <w:szCs w:val="20"/>
      </w:rPr>
    </w:r>
  </w:p>
  <w:p w14:paraId="0000006D">
    <w:pPr>
      <w:pBdr/>
      <w:spacing/>
      <w:ind/>
      <w:jc w:val="center"/>
      <w:rPr>
        <w:color w:val="999999"/>
        <w:sz w:val="20"/>
        <w:szCs w:val="20"/>
      </w:rPr>
    </w:pPr>
    <w:r>
      <w:rPr>
        <w:color w:val="999999"/>
        <w:sz w:val="20"/>
        <w:szCs w:val="20"/>
        <w:rtl w:val="0"/>
      </w:rPr>
      <w:t xml:space="preserve">Tel: 070244844, E-mail: </w:t>
    </w:r>
    <w:hyperlink r:id="rId1" w:tooltip="mailto:info@mb-diagnostika.si" w:history="1">
      <w:r>
        <w:rPr>
          <w:color w:val="999999"/>
          <w:sz w:val="20"/>
          <w:szCs w:val="20"/>
          <w:u w:val="single"/>
          <w:rtl w:val="0"/>
        </w:rPr>
        <w:t xml:space="preserve">info@mb-diagnostika.si</w:t>
      </w:r>
    </w:hyperlink>
    <w:r>
      <w:rPr>
        <w:color w:val="999999"/>
        <w:sz w:val="20"/>
        <w:szCs w:val="20"/>
        <w:rtl w:val="0"/>
      </w:rPr>
      <w:t xml:space="preserve">, </w:t>
    </w:r>
    <w:hyperlink r:id="rId2" w:tooltip="http://www.mb-diagnostika.si" w:history="1">
      <w:r>
        <w:rPr>
          <w:color w:val="999999"/>
          <w:sz w:val="20"/>
          <w:szCs w:val="20"/>
          <w:u w:val="single"/>
          <w:rtl w:val="0"/>
        </w:rPr>
        <w:t xml:space="preserve">www.mb-diagnostika.si</w:t>
      </w:r>
    </w:hyperlink>
    <w:r>
      <w:rPr>
        <w:rtl w:val="0"/>
      </w:rPr>
    </w:r>
    <w:r>
      <w:rPr>
        <w:color w:val="999999"/>
        <w:sz w:val="20"/>
        <w:szCs w:val="20"/>
      </w:rPr>
    </w:r>
  </w:p>
  <w:p w14:paraId="0000006E">
    <w:pPr>
      <w:pBdr/>
      <w:spacing/>
      <w:ind/>
      <w:jc w:val="center"/>
      <w:rPr>
        <w:color w:val="999999"/>
        <w:sz w:val="20"/>
        <w:szCs w:val="20"/>
      </w:rPr>
    </w:pPr>
    <w:r>
      <w:rPr>
        <w:color w:val="999999"/>
        <w:sz w:val="20"/>
        <w:szCs w:val="20"/>
        <w:rtl w:val="0"/>
      </w:rPr>
      <w:t xml:space="preserve">ID za DDV: SI67884008, MŠ: 9791728000, IBAN: </w:t>
    </w:r>
    <w:r>
      <w:rPr>
        <w:color w:val="999999"/>
        <w:sz w:val="18"/>
        <w:szCs w:val="18"/>
        <w:highlight w:val="white"/>
        <w:rtl w:val="0"/>
      </w:rPr>
      <w:t xml:space="preserve">SI56 1010 0006 2350 916</w:t>
    </w:r>
    <w:r>
      <w:rPr>
        <w:rtl w:val="0"/>
      </w:rPr>
    </w:r>
    <w:r>
      <w:rPr>
        <w:color w:val="999999"/>
        <w:sz w:val="20"/>
        <w:szCs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F">
    <w:pPr>
      <w:pBdr/>
      <w:spacing/>
      <w:ind/>
      <w:rPr/>
    </w:pPr>
    <w:r>
      <w:rPr>
        <w:rtl w:val="0"/>
      </w:rPr>
    </w:r>
    <w:r/>
  </w:p>
  <w:p w14:paraId="00000070">
    <w:pPr>
      <w:pBdr/>
      <w:spacing/>
      <w:ind/>
      <w:rPr/>
    </w:pPr>
    <w:r>
      <w:rPr>
        <w:rtl w:val="0"/>
      </w:rPr>
    </w:r>
    <w:r/>
  </w:p>
  <w:p w14:paraId="00000071">
    <w:pPr>
      <w:pBdr/>
      <w:spacing/>
      <w:ind/>
      <w:rPr/>
    </w:pP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42"/>
    <w:next w:val="74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42"/>
    <w:next w:val="74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42"/>
    <w:next w:val="74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42"/>
    <w:next w:val="74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4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42"/>
    <w:next w:val="74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4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4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4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42"/>
    <w:next w:val="7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2"/>
    <w:next w:val="742"/>
    <w:uiPriority w:val="39"/>
    <w:unhideWhenUsed/>
    <w:pPr>
      <w:pBdr/>
      <w:spacing w:after="100"/>
      <w:ind/>
    </w:pPr>
  </w:style>
  <w:style w:type="paragraph" w:styleId="190">
    <w:name w:val="toc 2"/>
    <w:basedOn w:val="742"/>
    <w:next w:val="742"/>
    <w:uiPriority w:val="39"/>
    <w:unhideWhenUsed/>
    <w:pPr>
      <w:pBdr/>
      <w:spacing w:after="100"/>
      <w:ind w:left="220"/>
    </w:pPr>
  </w:style>
  <w:style w:type="paragraph" w:styleId="191">
    <w:name w:val="toc 3"/>
    <w:basedOn w:val="742"/>
    <w:next w:val="742"/>
    <w:uiPriority w:val="39"/>
    <w:unhideWhenUsed/>
    <w:pPr>
      <w:pBdr/>
      <w:spacing w:after="100"/>
      <w:ind w:left="440"/>
    </w:pPr>
  </w:style>
  <w:style w:type="paragraph" w:styleId="192">
    <w:name w:val="toc 4"/>
    <w:basedOn w:val="742"/>
    <w:next w:val="742"/>
    <w:uiPriority w:val="39"/>
    <w:unhideWhenUsed/>
    <w:pPr>
      <w:pBdr/>
      <w:spacing w:after="100"/>
      <w:ind w:left="660"/>
    </w:pPr>
  </w:style>
  <w:style w:type="paragraph" w:styleId="193">
    <w:name w:val="toc 5"/>
    <w:basedOn w:val="742"/>
    <w:next w:val="742"/>
    <w:uiPriority w:val="39"/>
    <w:unhideWhenUsed/>
    <w:pPr>
      <w:pBdr/>
      <w:spacing w:after="100"/>
      <w:ind w:left="880"/>
    </w:pPr>
  </w:style>
  <w:style w:type="paragraph" w:styleId="194">
    <w:name w:val="toc 6"/>
    <w:basedOn w:val="742"/>
    <w:next w:val="742"/>
    <w:uiPriority w:val="39"/>
    <w:unhideWhenUsed/>
    <w:pPr>
      <w:pBdr/>
      <w:spacing w:after="100"/>
      <w:ind w:left="1100"/>
    </w:pPr>
  </w:style>
  <w:style w:type="paragraph" w:styleId="195">
    <w:name w:val="toc 7"/>
    <w:basedOn w:val="742"/>
    <w:next w:val="742"/>
    <w:uiPriority w:val="39"/>
    <w:unhideWhenUsed/>
    <w:pPr>
      <w:pBdr/>
      <w:spacing w:after="100"/>
      <w:ind w:left="1320"/>
    </w:pPr>
  </w:style>
  <w:style w:type="paragraph" w:styleId="196">
    <w:name w:val="toc 8"/>
    <w:basedOn w:val="742"/>
    <w:next w:val="742"/>
    <w:uiPriority w:val="39"/>
    <w:unhideWhenUsed/>
    <w:pPr>
      <w:pBdr/>
      <w:spacing w:after="100"/>
      <w:ind w:left="1540"/>
    </w:pPr>
  </w:style>
  <w:style w:type="paragraph" w:styleId="197">
    <w:name w:val="toc 9"/>
    <w:basedOn w:val="742"/>
    <w:next w:val="74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2"/>
    <w:next w:val="742"/>
    <w:uiPriority w:val="99"/>
    <w:unhideWhenUsed/>
    <w:pPr>
      <w:pBdr/>
      <w:spacing w:after="0" w:afterAutospacing="0"/>
      <w:ind/>
    </w:pPr>
  </w:style>
  <w:style w:type="table" w:styleId="74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2" w:default="1">
    <w:name w:val="Normal"/>
    <w:pPr>
      <w:pBdr/>
      <w:spacing/>
      <w:ind/>
    </w:pPr>
  </w:style>
  <w:style w:type="paragraph" w:styleId="743">
    <w:name w:val="Heading 1"/>
    <w:basedOn w:val="742"/>
    <w:next w:val="742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744">
    <w:name w:val="Heading 2"/>
    <w:basedOn w:val="742"/>
    <w:next w:val="742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745">
    <w:name w:val="Heading 3"/>
    <w:basedOn w:val="742"/>
    <w:next w:val="742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746">
    <w:name w:val="Heading 4"/>
    <w:basedOn w:val="742"/>
    <w:next w:val="742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747">
    <w:name w:val="Heading 5"/>
    <w:basedOn w:val="742"/>
    <w:next w:val="742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748">
    <w:name w:val="Heading 6"/>
    <w:basedOn w:val="742"/>
    <w:next w:val="742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749">
    <w:name w:val="Title"/>
    <w:basedOn w:val="742"/>
    <w:next w:val="742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750">
    <w:name w:val="Subtitle"/>
    <w:basedOn w:val="742"/>
    <w:next w:val="742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751">
    <w:name w:val="StGen0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jpg"/><Relationship Id="rId12" Type="http://schemas.openxmlformats.org/officeDocument/2006/relationships/hyperlink" Target="mailto:info@mb-diagnostika.s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mb-diagnostika.si" TargetMode="External"/><Relationship Id="rId2" Type="http://schemas.openxmlformats.org/officeDocument/2006/relationships/hyperlink" Target="http://www.mb-diagnostika.si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