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NGUYÊN LÝ ĐỐI SOÁT, KIỂM SOÁT DOANH THU VÀ PHÁT HIỆN BẤT THƯỜNG</w:t>
      </w:r>
    </w:p>
    <w:p>
      <w:pPr>
        <w:jc w:val="center"/>
      </w:pPr>
      <w:r>
        <w:rPr>
          <w:i/>
        </w:rPr>
        <w:t>Tài liệu tổng hợp nguyên lý chung từ tài liệu bàn giao công việc đã được loại bỏ toàn bộ thông tin người dùng, cá nhân và hạ tầng nội bộ.</w:t>
      </w:r>
    </w:p>
    <w:p>
      <w:pPr>
        <w:pStyle w:val="Heading1"/>
      </w:pPr>
      <w:r>
        <w:t>1. Mục đích và phạm vi</w:t>
      </w:r>
    </w:p>
    <w:p>
      <w:r>
        <w:t>Tài liệu mô tả các nguyên lý chung trong việc kiểm soát dữ liệu giao dịch, đối soát giữa nhiều hệ thống, phát hiện sai lệch và bất thường, phân tích nguyên nhân gốc và vận hành các báo cáo kiểm soát định kỳ. Các nguyên lý này có thể áp dụng cho hệ thống viễn thông, thanh toán, tài chính hoặc các hệ thống có nhiều nguồn dữ liệu giao dịch.</w:t>
      </w:r>
    </w:p>
    <w:p>
      <w:pPr>
        <w:pStyle w:val="Heading1"/>
      </w:pPr>
      <w:r>
        <w:t>2. Nguyên lý đối soát tổng quát</w:t>
      </w:r>
    </w:p>
    <w:p>
      <w:r>
        <w:t>Đối soát không chỉ là so sánh tổng số liệu. Quy trình chuẩn nên đi theo nhiều cấp:</w:t>
      </w:r>
    </w:p>
    <w:p>
      <w:pPr>
        <w:pStyle w:val="ListBullet"/>
      </w:pPr>
      <w:r>
        <w:t>Tổng hợp số liệu theo đối tượng hoặc khoảng thời gian.</w:t>
      </w:r>
    </w:p>
    <w:p>
      <w:pPr>
        <w:pStyle w:val="ListBullet"/>
      </w:pPr>
      <w:r>
        <w:t>So sánh giữa các nguồn hoặc hệ thống độc lập.</w:t>
      </w:r>
    </w:p>
    <w:p>
      <w:pPr>
        <w:pStyle w:val="ListBullet"/>
      </w:pPr>
      <w:r>
        <w:t>Xác định đối tượng có chênh lệch.</w:t>
      </w:r>
    </w:p>
    <w:p>
      <w:pPr>
        <w:pStyle w:val="ListBullet"/>
      </w:pPr>
      <w:r>
        <w:t>Drill-down xuống từng giao dịch hoặc bản ghi.</w:t>
      </w:r>
    </w:p>
    <w:p>
      <w:pPr>
        <w:pStyle w:val="ListBullet"/>
      </w:pPr>
      <w:r>
        <w:t>Xác định nguyên nhân gốc của chênh lệch.</w:t>
      </w:r>
    </w:p>
    <w:p>
      <w:pPr>
        <w:pStyle w:val="ListBullet"/>
      </w:pPr>
      <w:r>
        <w:t>Phân biệt lỗi dữ liệu thực sự với độ trễ đồng bộ hoặc lỗi của quá trình tổng hợp.</w:t>
      </w:r>
    </w:p>
    <w:p>
      <w:pPr>
        <w:pStyle w:val="Heading1"/>
      </w:pPr>
      <w:r>
        <w:t>3. Mô hình đối soát nhiều nguồn</w:t>
      </w:r>
    </w:p>
    <w:p>
      <w:r>
        <w:t>Một giao dịch hoặc sự kiện có thể xuất hiện tại nhiều hệ thống khác nhau. Việc đối soát cần kiểm tra sự nhất quán về sự tồn tại, thời gian, giá trị, trạng thái và định danh giao dịch.</w:t>
      </w:r>
    </w:p>
    <w:p>
      <w:pPr>
        <w:pStyle w:val="ListBullet"/>
      </w:pPr>
      <w:r>
        <w:t>Nguồn A có bản ghi nhưng nguồn B không có.</w:t>
      </w:r>
    </w:p>
    <w:p>
      <w:pPr>
        <w:pStyle w:val="ListBullet"/>
      </w:pPr>
      <w:r>
        <w:t>Hai nguồn cùng có bản ghi nhưng giá trị khác nhau.</w:t>
      </w:r>
    </w:p>
    <w:p>
      <w:pPr>
        <w:pStyle w:val="ListBullet"/>
      </w:pPr>
      <w:r>
        <w:t>Hai nguồn cùng có bản ghi nhưng thời gian không khớp.</w:t>
      </w:r>
    </w:p>
    <w:p>
      <w:pPr>
        <w:pStyle w:val="ListBullet"/>
      </w:pPr>
      <w:r>
        <w:t>Bản ghi xuất hiện ở trạng thái cuối nhưng thiếu trạng thái trung gian.</w:t>
      </w:r>
    </w:p>
    <w:p>
      <w:pPr>
        <w:pStyle w:val="ListBullet"/>
      </w:pPr>
      <w:r>
        <w:t>Tổng tiền, tổng sản lượng hoặc số dư giữa các nguồn không khớp.</w:t>
      </w:r>
    </w:p>
    <w:p>
      <w:pPr>
        <w:pStyle w:val="Heading1"/>
      </w:pPr>
      <w:r>
        <w:t>4. Đối soát theo công thức số dư</w:t>
      </w:r>
    </w:p>
    <w:p>
      <w:r>
        <w:t>Một nguyên lý quan trọng là tái tạo số dư kỳ vọng từ các biến động giao dịch:</w:t>
      </w:r>
    </w:p>
    <w:p>
      <w:pPr>
        <w:pStyle w:val="IntenseQuote"/>
      </w:pPr>
      <w:r>
        <w:t>Số dư cuối kỳ kỳ vọng = Số dư đầu kỳ + Tổng phát sinh tăng − Tổng phát sinh giảm</w:t>
      </w:r>
    </w:p>
    <w:p>
      <w:r>
        <w:t>Nếu số dư kỳ vọng khác số dư thực tế, hệ thống cần chuyển sang kiểm tra chi tiết từng giao dịch để xác định khoản thiếu, thừa, trùng hoặc sai trạng thái.</w:t>
      </w:r>
    </w:p>
    <w:p>
      <w:pPr>
        <w:pStyle w:val="Heading1"/>
      </w:pPr>
      <w:r>
        <w:t>5. Kiểm soát giao dịch trùng</w:t>
      </w:r>
    </w:p>
    <w:p>
      <w:r>
        <w:t>Dữ liệu giao dịch có thể bị trùng do lỗi nguồn, lỗi đồng bộ hoặc lỗi xử lý. Không nên chỉ xác định giao dịch trùng bằng số tiền hoặc ngày phát sinh.</w:t>
      </w:r>
    </w:p>
    <w:p>
      <w:pPr>
        <w:pStyle w:val="ListBullet"/>
      </w:pPr>
      <w:r>
        <w:t>Ưu tiên định danh giao dịch hoặc mã tương quan duy nhất.</w:t>
      </w:r>
    </w:p>
    <w:p>
      <w:pPr>
        <w:pStyle w:val="ListBullet"/>
      </w:pPr>
      <w:r>
        <w:t>Nếu không có khóa duy nhất, kết hợp nhiều thuộc tính như đối tượng, giá trị, thời gian và loại giao dịch.</w:t>
      </w:r>
    </w:p>
    <w:p>
      <w:pPr>
        <w:pStyle w:val="ListBullet"/>
      </w:pPr>
      <w:r>
        <w:t>Phân biệt giao dịch trùng thực sự với các giao dịch hợp lệ có cùng giá trị.</w:t>
      </w:r>
    </w:p>
    <w:p>
      <w:pPr>
        <w:pStyle w:val="ListBullet"/>
      </w:pPr>
      <w:r>
        <w:t>Kiểm tra duplicate cả ở dữ liệu nguồn và dữ liệu sau tổng hợp.</w:t>
      </w:r>
    </w:p>
    <w:p>
      <w:pPr>
        <w:pStyle w:val="Heading1"/>
      </w:pPr>
      <w:r>
        <w:t>6. Phân biệt sai lệch thực sự với độ trễ dữ liệu</w:t>
      </w:r>
    </w:p>
    <w:p>
      <w:r>
        <w:t>Một cảnh báo không đồng nghĩa với lỗi thực tế. Một nguồn có thể cập nhật chậm hơn nguồn khác hoặc dữ liệu dùng để đối chiếu có thể xuất hiện sau khi báo cáo được tạo.</w:t>
      </w:r>
    </w:p>
    <w:p>
      <w:pPr>
        <w:pStyle w:val="IntenseQuote"/>
      </w:pPr>
      <w:r>
        <w:t>Mismatch → kiểm tra độ trễ dữ liệu → chờ cửa sổ đối soát → kiểm tra lại → xác nhận hoặc tự đóng cảnh báo</w:t>
      </w:r>
    </w:p>
    <w:p>
      <w:pPr>
        <w:pStyle w:val="ListBullet"/>
      </w:pPr>
      <w:r>
        <w:t>Nếu dữ liệu xuất hiện sau đó và khớp với nguồn còn lại, cảnh báo được xem là do độ trễ hoặc vấn đề vận hành.</w:t>
      </w:r>
    </w:p>
    <w:p>
      <w:pPr>
        <w:pStyle w:val="ListBullet"/>
      </w:pPr>
      <w:r>
        <w:t>Nếu sau cửa sổ đối soát dữ liệu vẫn không xuất hiện hoặc vẫn sai lệch, đây là bất thường cần điều tra.</w:t>
      </w:r>
    </w:p>
    <w:p>
      <w:pPr>
        <w:pStyle w:val="ListBullet"/>
      </w:pPr>
      <w:r>
        <w:t>Cần lưu trạng thái cảnh báo để tránh gửi lặp lại cùng một vấn đề.</w:t>
      </w:r>
    </w:p>
    <w:p>
      <w:pPr>
        <w:pStyle w:val="Heading1"/>
      </w:pPr>
      <w:r>
        <w:t>7. Kiểm tra vòng đời và chuyển trạng thái</w:t>
      </w:r>
    </w:p>
    <w:p>
      <w:r>
        <w:t>Nhiều đối tượng có vòng đời gồm nhiều trạng thái liên tiếp. Một bất thường có thể được phát hiện khi trạng thái sau xuất hiện nhưng trạng thái trước không tồn tại.</w:t>
      </w:r>
    </w:p>
    <w:p>
      <w:pPr>
        <w:pStyle w:val="ListBullet"/>
      </w:pPr>
      <w:r>
        <w:t>Đối tượng được kích hoạt nhưng không có dữ liệu phát hành hoặc phân phối.</w:t>
      </w:r>
    </w:p>
    <w:p>
      <w:pPr>
        <w:pStyle w:val="ListBullet"/>
      </w:pPr>
      <w:r>
        <w:t>Đã phát sinh sử dụng nhưng không có sự kiện bán, cấp hoặc đăng ký tương ứng.</w:t>
      </w:r>
    </w:p>
    <w:p>
      <w:pPr>
        <w:pStyle w:val="ListBullet"/>
      </w:pPr>
      <w:r>
        <w:t>Có tiêu dùng nhưng không có quyền sử dụng, gói dịch vụ hoặc số dư tương ứng.</w:t>
      </w:r>
    </w:p>
    <w:p>
      <w:pPr>
        <w:pStyle w:val="ListBullet"/>
      </w:pPr>
      <w:r>
        <w:t>Có đăng ký ở hệ thống quản lý dịch vụ nhưng không có trạng thái tương ứng ở hệ thống tính cước hoặc ngược lại.</w:t>
      </w:r>
    </w:p>
    <w:p>
      <w:pPr>
        <w:pStyle w:val="Heading1"/>
      </w:pPr>
      <w:r>
        <w:t>8. Phát hiện bất thường bằng rule</w:t>
      </w:r>
    </w:p>
    <w:p>
      <w:r>
        <w:t>Các nhóm rule có thể chia thành:</w:t>
      </w:r>
    </w:p>
    <w:tbl>
      <w:tblPr>
        <w:tblStyle w:val="TableGrid"/>
        <w:tblW w:type="auto" w:w="0"/>
        <w:tblLook w:firstColumn="1" w:firstRow="1" w:lastColumn="0" w:lastRow="0" w:noHBand="0" w:noVBand="1" w:val="04A0"/>
      </w:tblPr>
      <w:tblGrid>
        <w:gridCol w:w="3312"/>
        <w:gridCol w:w="3312"/>
        <w:gridCol w:w="3312"/>
      </w:tblGrid>
      <w:tr>
        <w:tc>
          <w:tcPr>
            <w:tcW w:type="dxa" w:w="3312"/>
          </w:tcPr>
          <w:p>
            <w:r>
              <w:t>Nhóm</w:t>
            </w:r>
          </w:p>
        </w:tc>
        <w:tc>
          <w:tcPr>
            <w:tcW w:type="dxa" w:w="3312"/>
          </w:tcPr>
          <w:p>
            <w:r>
              <w:t>Rule</w:t>
            </w:r>
          </w:p>
        </w:tc>
        <w:tc>
          <w:tcPr>
            <w:tcW w:type="dxa" w:w="3312"/>
          </w:tcPr>
          <w:p>
            <w:r>
              <w:t>Ý nghĩa</w:t>
            </w:r>
          </w:p>
        </w:tc>
      </w:tr>
      <w:tr>
        <w:tc>
          <w:tcPr>
            <w:tcW w:type="dxa" w:w="3312"/>
          </w:tcPr>
          <w:p>
            <w:r>
              <w:t>Reconciliation</w:t>
            </w:r>
          </w:p>
        </w:tc>
        <w:tc>
          <w:tcPr>
            <w:tcW w:type="dxa" w:w="3312"/>
          </w:tcPr>
          <w:p>
            <w:r>
              <w:t>Balance mismatch</w:t>
            </w:r>
          </w:p>
        </w:tc>
        <w:tc>
          <w:tcPr>
            <w:tcW w:type="dxa" w:w="3312"/>
          </w:tcPr>
          <w:p>
            <w:r>
              <w:t>Số dư tái tạo khác số dư thực tế.</w:t>
            </w:r>
          </w:p>
        </w:tc>
      </w:tr>
      <w:tr>
        <w:tc>
          <w:tcPr>
            <w:tcW w:type="dxa" w:w="3312"/>
          </w:tcPr>
          <w:p>
            <w:r>
              <w:t>Reconciliation</w:t>
            </w:r>
          </w:p>
        </w:tc>
        <w:tc>
          <w:tcPr>
            <w:tcW w:type="dxa" w:w="3312"/>
          </w:tcPr>
          <w:p>
            <w:r>
              <w:t>Missing counterpart</w:t>
            </w:r>
          </w:p>
        </w:tc>
        <w:tc>
          <w:tcPr>
            <w:tcW w:type="dxa" w:w="3312"/>
          </w:tcPr>
          <w:p>
            <w:r>
              <w:t>Có giao dịch ở nguồn này nhưng thiếu giao dịch tương ứng ở nguồn khác.</w:t>
            </w:r>
          </w:p>
        </w:tc>
      </w:tr>
      <w:tr>
        <w:tc>
          <w:tcPr>
            <w:tcW w:type="dxa" w:w="3312"/>
          </w:tcPr>
          <w:p>
            <w:r>
              <w:t>Reconciliation</w:t>
            </w:r>
          </w:p>
        </w:tc>
        <w:tc>
          <w:tcPr>
            <w:tcW w:type="dxa" w:w="3312"/>
          </w:tcPr>
          <w:p>
            <w:r>
              <w:t>Amount mismatch</w:t>
            </w:r>
          </w:p>
        </w:tc>
        <w:tc>
          <w:tcPr>
            <w:tcW w:type="dxa" w:w="3312"/>
          </w:tcPr>
          <w:p>
            <w:r>
              <w:t>Hai nguồn ghi nhận cùng sự kiện nhưng giá trị khác nhau.</w:t>
            </w:r>
          </w:p>
        </w:tc>
      </w:tr>
      <w:tr>
        <w:tc>
          <w:tcPr>
            <w:tcW w:type="dxa" w:w="3312"/>
          </w:tcPr>
          <w:p>
            <w:r>
              <w:t>Reconciliation</w:t>
            </w:r>
          </w:p>
        </w:tc>
        <w:tc>
          <w:tcPr>
            <w:tcW w:type="dxa" w:w="3312"/>
          </w:tcPr>
          <w:p>
            <w:r>
              <w:t>Timing mismatch</w:t>
            </w:r>
          </w:p>
        </w:tc>
        <w:tc>
          <w:tcPr>
            <w:tcW w:type="dxa" w:w="3312"/>
          </w:tcPr>
          <w:p>
            <w:r>
              <w:t>Giao dịch lệch thời gian ngoài cửa sổ cho phép.</w:t>
            </w:r>
          </w:p>
        </w:tc>
      </w:tr>
      <w:tr>
        <w:tc>
          <w:tcPr>
            <w:tcW w:type="dxa" w:w="3312"/>
          </w:tcPr>
          <w:p>
            <w:r>
              <w:t>Duplication</w:t>
            </w:r>
          </w:p>
        </w:tc>
        <w:tc>
          <w:tcPr>
            <w:tcW w:type="dxa" w:w="3312"/>
          </w:tcPr>
          <w:p>
            <w:r>
              <w:t>Exact duplicate</w:t>
            </w:r>
          </w:p>
        </w:tc>
        <w:tc>
          <w:tcPr>
            <w:tcW w:type="dxa" w:w="3312"/>
          </w:tcPr>
          <w:p>
            <w:r>
              <w:t>Cùng định danh giao dịch xuất hiện nhiều lần.</w:t>
            </w:r>
          </w:p>
        </w:tc>
      </w:tr>
      <w:tr>
        <w:tc>
          <w:tcPr>
            <w:tcW w:type="dxa" w:w="3312"/>
          </w:tcPr>
          <w:p>
            <w:r>
              <w:t>Duplication</w:t>
            </w:r>
          </w:p>
        </w:tc>
        <w:tc>
          <w:tcPr>
            <w:tcW w:type="dxa" w:w="3312"/>
          </w:tcPr>
          <w:p>
            <w:r>
              <w:t>Suspected duplicate</w:t>
            </w:r>
          </w:p>
        </w:tc>
        <w:tc>
          <w:tcPr>
            <w:tcW w:type="dxa" w:w="3312"/>
          </w:tcPr>
          <w:p>
            <w:r>
              <w:t>Các giao dịch có đặc điểm gần như trùng nhau.</w:t>
            </w:r>
          </w:p>
        </w:tc>
      </w:tr>
      <w:tr>
        <w:tc>
          <w:tcPr>
            <w:tcW w:type="dxa" w:w="3312"/>
          </w:tcPr>
          <w:p>
            <w:r>
              <w:t>State control</w:t>
            </w:r>
          </w:p>
        </w:tc>
        <w:tc>
          <w:tcPr>
            <w:tcW w:type="dxa" w:w="3312"/>
          </w:tcPr>
          <w:p>
            <w:r>
              <w:t>Invalid state transition</w:t>
            </w:r>
          </w:p>
        </w:tc>
        <w:tc>
          <w:tcPr>
            <w:tcW w:type="dxa" w:w="3312"/>
          </w:tcPr>
          <w:p>
            <w:r>
              <w:t>Có trạng thái sau nhưng thiếu trạng thái bắt buộc trước đó.</w:t>
            </w:r>
          </w:p>
        </w:tc>
      </w:tr>
      <w:tr>
        <w:tc>
          <w:tcPr>
            <w:tcW w:type="dxa" w:w="3312"/>
          </w:tcPr>
          <w:p>
            <w:r>
              <w:t>Subscription/service</w:t>
            </w:r>
          </w:p>
        </w:tc>
        <w:tc>
          <w:tcPr>
            <w:tcW w:type="dxa" w:w="3312"/>
          </w:tcPr>
          <w:p>
            <w:r>
              <w:t>Subscription mismatch</w:t>
            </w:r>
          </w:p>
        </w:tc>
        <w:tc>
          <w:tcPr>
            <w:tcW w:type="dxa" w:w="3312"/>
          </w:tcPr>
          <w:p>
            <w:r>
              <w:t>Trạng thái đăng ký không đồng bộ giữa các hệ thống.</w:t>
            </w:r>
          </w:p>
        </w:tc>
      </w:tr>
      <w:tr>
        <w:tc>
          <w:tcPr>
            <w:tcW w:type="dxa" w:w="3312"/>
          </w:tcPr>
          <w:p>
            <w:r>
              <w:t>Usage control</w:t>
            </w:r>
          </w:p>
        </w:tc>
        <w:tc>
          <w:tcPr>
            <w:tcW w:type="dxa" w:w="3312"/>
          </w:tcPr>
          <w:p>
            <w:r>
              <w:t>Unexpected usage</w:t>
            </w:r>
          </w:p>
        </w:tc>
        <w:tc>
          <w:tcPr>
            <w:tcW w:type="dxa" w:w="3312"/>
          </w:tcPr>
          <w:p>
            <w:r>
              <w:t>Có tiêu dùng hoặc sử dụng nhưng không có quyền, gói hoặc cấu hình tương ứng.</w:t>
            </w:r>
          </w:p>
        </w:tc>
      </w:tr>
      <w:tr>
        <w:tc>
          <w:tcPr>
            <w:tcW w:type="dxa" w:w="3312"/>
          </w:tcPr>
          <w:p>
            <w:r>
              <w:t>Behavioral</w:t>
            </w:r>
          </w:p>
        </w:tc>
        <w:tc>
          <w:tcPr>
            <w:tcW w:type="dxa" w:w="3312"/>
          </w:tcPr>
          <w:p>
            <w:r>
              <w:t>Threshold spike</w:t>
            </w:r>
          </w:p>
        </w:tc>
        <w:tc>
          <w:tcPr>
            <w:tcW w:type="dxa" w:w="3312"/>
          </w:tcPr>
          <w:p>
            <w:r>
              <w:t>Tăng hoặc giảm vượt ngưỡng đã xác định.</w:t>
            </w:r>
          </w:p>
        </w:tc>
      </w:tr>
      <w:tr>
        <w:tc>
          <w:tcPr>
            <w:tcW w:type="dxa" w:w="3312"/>
          </w:tcPr>
          <w:p>
            <w:r>
              <w:t>Behavioral</w:t>
            </w:r>
          </w:p>
        </w:tc>
        <w:tc>
          <w:tcPr>
            <w:tcW w:type="dxa" w:w="3312"/>
          </w:tcPr>
          <w:p>
            <w:r>
              <w:t>Outlier concentration</w:t>
            </w:r>
          </w:p>
        </w:tc>
        <w:tc>
          <w:tcPr>
            <w:tcW w:type="dxa" w:w="3312"/>
          </w:tcPr>
          <w:p>
            <w:r>
              <w:t>Biến động tập trung bất thường vào một nhóm đối tượng, thời điểm hoặc khu vực.</w:t>
            </w:r>
          </w:p>
        </w:tc>
      </w:tr>
      <w:tr>
        <w:tc>
          <w:tcPr>
            <w:tcW w:type="dxa" w:w="3312"/>
          </w:tcPr>
          <w:p>
            <w:r>
              <w:t>Data quality</w:t>
            </w:r>
          </w:p>
        </w:tc>
        <w:tc>
          <w:tcPr>
            <w:tcW w:type="dxa" w:w="3312"/>
          </w:tcPr>
          <w:p>
            <w:r>
              <w:t>Late-arriving data</w:t>
            </w:r>
          </w:p>
        </w:tc>
        <w:tc>
          <w:tcPr>
            <w:tcW w:type="dxa" w:w="3312"/>
          </w:tcPr>
          <w:p>
            <w:r>
              <w:t>Dữ liệu xuất hiện muộn làm phát sinh cảnh báo tạm thời.</w:t>
            </w:r>
          </w:p>
        </w:tc>
      </w:tr>
    </w:tbl>
    <w:p>
      <w:pPr>
        <w:pStyle w:val="Heading1"/>
      </w:pPr>
      <w:r>
        <w:t>9. Phát hiện biến động bất thường</w:t>
      </w:r>
    </w:p>
    <w:p>
      <w:r>
        <w:t>Ngoài đối soát từng giao dịch, cần theo dõi biến động tổng thể theo thời gian. Một ví dụ là đặt ngưỡng tăng hoặc giảm phần trăm so với kỳ tham chiếu.</w:t>
      </w:r>
    </w:p>
    <w:p>
      <w:pPr>
        <w:pStyle w:val="ListBullet"/>
      </w:pPr>
      <w:r>
        <w:t>So sánh với ngày trước, tuần trước hoặc tháng trước.</w:t>
      </w:r>
    </w:p>
    <w:p>
      <w:pPr>
        <w:pStyle w:val="ListBullet"/>
      </w:pPr>
      <w:r>
        <w:t>So sánh với cùng kỳ của các tháng trước.</w:t>
      </w:r>
    </w:p>
    <w:p>
      <w:pPr>
        <w:pStyle w:val="ListBullet"/>
      </w:pPr>
      <w:r>
        <w:t>Phát hiện tăng hoặc giảm vượt ngưỡng.</w:t>
      </w:r>
    </w:p>
    <w:p>
      <w:pPr>
        <w:pStyle w:val="ListBullet"/>
      </w:pPr>
      <w:r>
        <w:t>Khoanh vùng biến động theo thời gian, khu vực, dịch vụ hoặc nhóm đối tượng.</w:t>
      </w:r>
    </w:p>
    <w:p>
      <w:pPr>
        <w:pStyle w:val="ListBullet"/>
      </w:pPr>
      <w:r>
        <w:t>Phân tích nhóm đối tượng đóng góp lớn nhất vào biến động.</w:t>
      </w:r>
    </w:p>
    <w:p>
      <w:pPr>
        <w:pStyle w:val="Heading1"/>
      </w:pPr>
      <w:r>
        <w:t>10. Drill-down và phân tích nguyên nhân gốc</w:t>
      </w:r>
    </w:p>
    <w:p>
      <w:r>
        <w:t>Khi phát hiện một chênh lệch ở mức tổng hợp, không nên dừng ở kết quả tổng. Quy trình điều tra nên lần lượt thu hẹp phạm vi:</w:t>
      </w:r>
    </w:p>
    <w:p>
      <w:pPr>
        <w:pStyle w:val="IntenseQuote"/>
      </w:pPr>
      <w:r>
        <w:t>Toàn hệ thống → Nhóm đối tượng → Đối tượng cụ thể → Khoảng thời gian → Giao dịch/bản ghi → Nguyên nhân gốc</w:t>
      </w:r>
    </w:p>
    <w:p>
      <w:pPr>
        <w:pStyle w:val="ListBullet"/>
      </w:pPr>
      <w:r>
        <w:t>Xác định thời điểm bắt đầu xuất hiện sai lệch.</w:t>
      </w:r>
    </w:p>
    <w:p>
      <w:pPr>
        <w:pStyle w:val="ListBullet"/>
      </w:pPr>
      <w:r>
        <w:t>Xác định nguồn nào thiếu hoặc sai dữ liệu.</w:t>
      </w:r>
    </w:p>
    <w:p>
      <w:pPr>
        <w:pStyle w:val="ListBullet"/>
      </w:pPr>
      <w:r>
        <w:t>Kiểm tra các giao dịch có giá trị lớn hoặc bất thường.</w:t>
      </w:r>
    </w:p>
    <w:p>
      <w:pPr>
        <w:pStyle w:val="ListBullet"/>
      </w:pPr>
      <w:r>
        <w:t>Kiểm tra thay đổi cấu hình, trạng thái hoặc quy tắc nghiệp vụ.</w:t>
      </w:r>
    </w:p>
    <w:p>
      <w:pPr>
        <w:pStyle w:val="ListBullet"/>
      </w:pPr>
      <w:r>
        <w:t>Phân biệt nguyên nhân do nguồn, ETL, tổng hợp, đồng bộ hoặc nghiệp vụ.</w:t>
      </w:r>
    </w:p>
    <w:p>
      <w:pPr>
        <w:pStyle w:val="Heading1"/>
      </w:pPr>
      <w:r>
        <w:t>11. Kiểm soát dữ liệu làm giàu và dữ liệu phụ thuộc</w:t>
      </w:r>
    </w:p>
    <w:p>
      <w:r>
        <w:t>Các báo cáo thường phụ thuộc vào dữ liệu từ nhiều nguồn. Dữ liệu được dùng để làm giàu hoặc đối chiếu có thể đến muộn hơn dữ liệu chính.</w:t>
      </w:r>
    </w:p>
    <w:p>
      <w:pPr>
        <w:pStyle w:val="ListBullet"/>
      </w:pPr>
      <w:r>
        <w:t>Kiểm tra thời điểm sẵn sàng của từng nguồn.</w:t>
      </w:r>
    </w:p>
    <w:p>
      <w:pPr>
        <w:pStyle w:val="ListBullet"/>
      </w:pPr>
      <w:r>
        <w:t>Xác định dependency giữa các pipeline.</w:t>
      </w:r>
    </w:p>
    <w:p>
      <w:pPr>
        <w:pStyle w:val="ListBullet"/>
      </w:pPr>
      <w:r>
        <w:t>Không kết luận lỗi chỉ dựa trên snapshot tại một thời điểm.</w:t>
      </w:r>
    </w:p>
    <w:p>
      <w:pPr>
        <w:pStyle w:val="ListBullet"/>
      </w:pPr>
      <w:r>
        <w:t>Cho phép chạy lại hoặc recheck sau khi dữ liệu phụ thuộc hoàn tất.</w:t>
      </w:r>
    </w:p>
    <w:p>
      <w:pPr>
        <w:pStyle w:val="ListBullet"/>
      </w:pPr>
      <w:r>
        <w:t>Phân loại rõ lỗi dữ liệu và lỗi vận hành/tổng hợp.</w:t>
      </w:r>
    </w:p>
    <w:p>
      <w:pPr>
        <w:pStyle w:val="Heading1"/>
      </w:pPr>
      <w:r>
        <w:t>12. Thiết kế vòng đời cảnh báo</w:t>
      </w:r>
    </w:p>
    <w:p>
      <w:r>
        <w:t>Một cảnh báo nên có trạng thái thay vì chỉ tồn tại dưới dạng email hoặc báo cáo tĩnh.</w:t>
      </w:r>
    </w:p>
    <w:p>
      <w:pPr>
        <w:pStyle w:val="ListBullet"/>
      </w:pPr>
      <w:r>
        <w:t>NEW: mới phát hiện.</w:t>
      </w:r>
    </w:p>
    <w:p>
      <w:pPr>
        <w:pStyle w:val="ListBullet"/>
      </w:pPr>
      <w:r>
        <w:t>PENDING: đang chờ dữ liệu hoặc đối soát lại.</w:t>
      </w:r>
    </w:p>
    <w:p>
      <w:pPr>
        <w:pStyle w:val="ListBullet"/>
      </w:pPr>
      <w:r>
        <w:t>CONFIRMED: đã xác nhận bất thường.</w:t>
      </w:r>
    </w:p>
    <w:p>
      <w:pPr>
        <w:pStyle w:val="ListBullet"/>
      </w:pPr>
      <w:r>
        <w:t>INVESTIGATING: đang điều tra nguyên nhân.</w:t>
      </w:r>
    </w:p>
    <w:p>
      <w:pPr>
        <w:pStyle w:val="ListBullet"/>
      </w:pPr>
      <w:r>
        <w:t>RESOLVED: đã được xử lý hoặc tự khớp lại.</w:t>
      </w:r>
    </w:p>
    <w:p>
      <w:pPr>
        <w:pStyle w:val="ListBullet"/>
      </w:pPr>
      <w:r>
        <w:t>DISMISSED: cảnh báo không phải lỗi thực tế.</w:t>
      </w:r>
    </w:p>
    <w:p>
      <w:pPr>
        <w:pStyle w:val="Heading1"/>
      </w:pPr>
      <w:r>
        <w:t>13. Nguyên tắc chống cảnh báo trùng</w:t>
      </w:r>
    </w:p>
    <w:p>
      <w:r>
        <w:t>Một vấn đề có thể tồn tại qua nhiều chu kỳ chạy báo cáo. Hệ thống cần nhận diện cùng một anomaly để tránh gửi cảnh báo lặp lại.</w:t>
      </w:r>
    </w:p>
    <w:p>
      <w:pPr>
        <w:pStyle w:val="ListBullet"/>
      </w:pPr>
      <w:r>
        <w:t>Tạo fingerprint cho anomaly dựa trên đối tượng, loại lỗi, khoảng thời gian và đặc điểm giao dịch.</w:t>
      </w:r>
    </w:p>
    <w:p>
      <w:pPr>
        <w:pStyle w:val="ListBullet"/>
      </w:pPr>
      <w:r>
        <w:t>Chỉ gửi cảnh báo mới khi anomaly mới xuất hiện hoặc mức độ nghiêm trọng thay đổi.</w:t>
      </w:r>
    </w:p>
    <w:p>
      <w:pPr>
        <w:pStyle w:val="ListBullet"/>
      </w:pPr>
      <w:r>
        <w:t>Cập nhật trạng thái của anomaly hiện có thay vì tạo bản ghi mới.</w:t>
      </w:r>
    </w:p>
    <w:p>
      <w:pPr>
        <w:pStyle w:val="ListBullet"/>
      </w:pPr>
      <w:r>
        <w:t>Tự đóng cảnh báo khi các nguồn dữ liệu đã khớp lại.</w:t>
      </w:r>
    </w:p>
    <w:p>
      <w:pPr>
        <w:pStyle w:val="Heading1"/>
      </w:pPr>
      <w:r>
        <w:t>14. Ưu tiên xử lý bất thường</w:t>
      </w:r>
    </w:p>
    <w:p>
      <w:r>
        <w:t>Không phải mọi sai lệch đều có mức độ quan trọng như nhau. Có thể ưu tiên theo:</w:t>
      </w:r>
    </w:p>
    <w:p>
      <w:pPr>
        <w:pStyle w:val="ListBullet"/>
      </w:pPr>
      <w:r>
        <w:t>Giá trị tài chính hoặc sản lượng bị ảnh hưởng.</w:t>
      </w:r>
    </w:p>
    <w:p>
      <w:pPr>
        <w:pStyle w:val="ListBullet"/>
      </w:pPr>
      <w:r>
        <w:t>Số lượng đối tượng bị ảnh hưởng.</w:t>
      </w:r>
    </w:p>
    <w:p>
      <w:pPr>
        <w:pStyle w:val="ListBullet"/>
      </w:pPr>
      <w:r>
        <w:t>Thời gian tồn tại của sai lệch.</w:t>
      </w:r>
    </w:p>
    <w:p>
      <w:pPr>
        <w:pStyle w:val="ListBullet"/>
      </w:pPr>
      <w:r>
        <w:t>Khả năng tiếp tục phát sinh.</w:t>
      </w:r>
    </w:p>
    <w:p>
      <w:pPr>
        <w:pStyle w:val="ListBullet"/>
      </w:pPr>
      <w:r>
        <w:t>Mức độ chắc chắn của rule.</w:t>
      </w:r>
    </w:p>
    <w:p>
      <w:pPr>
        <w:pStyle w:val="ListBullet"/>
      </w:pPr>
      <w:r>
        <w:t>Khả năng ảnh hưởng đến doanh thu, chi phí hoặc khách hàng.</w:t>
      </w:r>
    </w:p>
    <w:p>
      <w:pPr>
        <w:pStyle w:val="Heading1"/>
      </w:pPr>
      <w:r>
        <w:t>15. Kiến trúc vận hành báo cáo định kỳ</w:t>
      </w:r>
    </w:p>
    <w:p>
      <w:r>
        <w:t>Một quy trình kiểm soát định kỳ có thể tổ chức thành chuỗi các bước:</w:t>
      </w:r>
    </w:p>
    <w:p>
      <w:pPr>
        <w:pStyle w:val="ListBullet"/>
      </w:pPr>
      <w:r>
        <w:t>Thu thập dữ liệu từ các nguồn.</w:t>
      </w:r>
    </w:p>
    <w:p>
      <w:pPr>
        <w:pStyle w:val="ListBullet"/>
      </w:pPr>
      <w:r>
        <w:t>Kiểm tra dữ liệu đầu vào và độ hoàn chỉnh.</w:t>
      </w:r>
    </w:p>
    <w:p>
      <w:pPr>
        <w:pStyle w:val="ListBullet"/>
      </w:pPr>
      <w:r>
        <w:t>Chuẩn hóa và tổng hợp.</w:t>
      </w:r>
    </w:p>
    <w:p>
      <w:pPr>
        <w:pStyle w:val="ListBullet"/>
      </w:pPr>
      <w:r>
        <w:t>Thực hiện đối soát và chạy các detection rules.</w:t>
      </w:r>
    </w:p>
    <w:p>
      <w:pPr>
        <w:pStyle w:val="ListBullet"/>
      </w:pPr>
      <w:r>
        <w:t>Phân loại mức độ nghiêm trọng.</w:t>
      </w:r>
    </w:p>
    <w:p>
      <w:pPr>
        <w:pStyle w:val="ListBullet"/>
      </w:pPr>
      <w:r>
        <w:t>Recheck các cảnh báo có khả năng do data lag.</w:t>
      </w:r>
    </w:p>
    <w:p>
      <w:pPr>
        <w:pStyle w:val="ListBullet"/>
      </w:pPr>
      <w:r>
        <w:t>Lưu trạng thái anomaly.</w:t>
      </w:r>
    </w:p>
    <w:p>
      <w:pPr>
        <w:pStyle w:val="ListBullet"/>
      </w:pPr>
      <w:r>
        <w:t>Tạo báo cáo chỉ gồm các vấn đề cần hành động.</w:t>
      </w:r>
    </w:p>
    <w:p>
      <w:pPr>
        <w:pStyle w:val="ListBullet"/>
      </w:pPr>
      <w:r>
        <w:t>Gửi thông báo theo lịch hoặc theo sự kiện.</w:t>
      </w:r>
    </w:p>
    <w:p>
      <w:pPr>
        <w:pStyle w:val="Heading1"/>
      </w:pPr>
      <w:r>
        <w:t>16. Các nguyên tắc thiết kế quan trọng</w:t>
      </w:r>
    </w:p>
    <w:p>
      <w:pPr>
        <w:pStyle w:val="ListBullet"/>
      </w:pPr>
      <w:r>
        <w:t>Không chỉ so sánh tổng số; luôn có khả năng drill-down đến giao dịch.</w:t>
      </w:r>
    </w:p>
    <w:p>
      <w:pPr>
        <w:pStyle w:val="ListBullet"/>
      </w:pPr>
      <w:r>
        <w:t>Không coi mọi mismatch là lỗi thực sự.</w:t>
      </w:r>
    </w:p>
    <w:p>
      <w:pPr>
        <w:pStyle w:val="ListBullet"/>
      </w:pPr>
      <w:r>
        <w:t>Thiết kế cửa sổ thời gian cho dữ liệu đến muộn.</w:t>
      </w:r>
    </w:p>
    <w:p>
      <w:pPr>
        <w:pStyle w:val="ListBullet"/>
      </w:pPr>
      <w:r>
        <w:t>Sử dụng định danh hoặc correlation key để kiểm soát duplicate.</w:t>
      </w:r>
    </w:p>
    <w:p>
      <w:pPr>
        <w:pStyle w:val="ListBullet"/>
      </w:pPr>
      <w:r>
        <w:t>Đối soát cả giá trị, trạng thái, thời gian và sự tồn tại của bản ghi.</w:t>
      </w:r>
    </w:p>
    <w:p>
      <w:pPr>
        <w:pStyle w:val="ListBullet"/>
      </w:pPr>
      <w:r>
        <w:t>Theo dõi vòng đời cảnh báo để tránh spam.</w:t>
      </w:r>
    </w:p>
    <w:p>
      <w:pPr>
        <w:pStyle w:val="ListBullet"/>
      </w:pPr>
      <w:r>
        <w:t>Kết hợp rule-based detection với phân tích xu hướng và outlier.</w:t>
      </w:r>
    </w:p>
    <w:p>
      <w:pPr>
        <w:pStyle w:val="ListBullet"/>
      </w:pPr>
      <w:r>
        <w:t>Ưu tiên điều tra theo mức độ ảnh hưởng và độ chắc chắn.</w:t>
      </w:r>
    </w:p>
    <w:p>
      <w:pPr>
        <w:pStyle w:val="ListBullet"/>
      </w:pPr>
      <w:r>
        <w:t>Tách rõ nguyên nhân do nghiệp vụ, dữ liệu nguồn, đồng bộ và xử lý dữ liệu.</w:t>
      </w:r>
    </w:p>
    <w:p>
      <w:pPr>
        <w:pStyle w:val="ListBullet"/>
      </w:pPr>
      <w:r>
        <w:t>Báo cáo cuối cùng phải hướng đến hành động, không chỉ liệt kê sai lệch.</w:t>
      </w:r>
    </w:p>
    <w:p>
      <w:pPr>
        <w:pStyle w:val="Heading1"/>
      </w:pPr>
      <w:r>
        <w:t>17. Khung áp dụng tổng quát</w:t>
      </w:r>
    </w:p>
    <w:p>
      <w:r>
        <w:t>Khung nguyên lý có thể được áp dụng cho bất kỳ hệ thống nào có nhiều nguồn dữ liệu giao dịch:</w:t>
      </w:r>
    </w:p>
    <w:p>
      <w:pPr>
        <w:pStyle w:val="IntenseQuote"/>
      </w:pPr>
      <w:r>
        <w:t>Source systems → Normalization → Canonical transaction/ledger → Reconciliation → Anomaly detection → Recheck → Alert lifecycle → Reporting</w:t>
      </w:r>
    </w:p>
    <w:p/>
    <w:p>
      <w:r>
        <w:rPr>
          <w:b/>
        </w:rPr>
        <w:t xml:space="preserve">Lưu ý: </w:t>
      </w:r>
      <w:r>
        <w:rPr>
          <w:i/>
        </w:rPr>
        <w:t>Tài liệu này chỉ giữ lại các nguyên lý, logic kiểm soát và pattern vận hành ở mức tổng quát. Toàn bộ thông tin nhận diện cá nhân, tài khoản người dùng, email, đường dẫn nội bộ, địa chỉ hệ thống, mã lịch chạy, tên workflow/script và thông tin hạ tầng cụ thể đã được loại bỏ.</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