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A142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A142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972C3C" w:rsidRPr="004F3F2E" w:rsidRDefault="004F3F2E" w:rsidP="004F3F2E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F3F2E">
              <w:rPr>
                <w:rFonts w:asciiTheme="majorBidi" w:hAnsiTheme="majorBidi" w:cstheme="majorBidi"/>
                <w:sz w:val="32"/>
                <w:szCs w:val="32"/>
              </w:rPr>
              <w:t xml:space="preserve">Pelvic fracture </w:t>
            </w:r>
            <w:r w:rsidRPr="004F3F2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ในข้อใดสามารถรักษาโดย </w:t>
            </w:r>
            <w:r w:rsidRPr="004F3F2E">
              <w:rPr>
                <w:rFonts w:asciiTheme="majorBidi" w:hAnsiTheme="majorBidi" w:cstheme="majorBidi"/>
                <w:sz w:val="32"/>
                <w:szCs w:val="32"/>
              </w:rPr>
              <w:t xml:space="preserve">conservative treatment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F3F2E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Pubic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rami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fracture, disruption of anterior &amp; posterior SI ligaments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F3F2E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Open pubic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rami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fracture without associated GU &amp; GI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F3F2E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Moderately – displaced iliac wing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F3F2E" w:rsidP="00DB050A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Lateral compression fracture </w:t>
            </w:r>
            <w:r w:rsidR="00DB050A">
              <w:rPr>
                <w:rFonts w:asciiTheme="majorBidi" w:hAnsiTheme="majorBidi" w:cstheme="majorBidi"/>
                <w:sz w:val="32"/>
                <w:szCs w:val="32"/>
              </w:rPr>
              <w:t xml:space="preserve">with posterior SI ligaments disruption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4F3F2E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Vertical displacement of the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hemipelvis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4F3F2E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A142B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A4374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B050A"/>
    <w:rsid w:val="00DC4D83"/>
    <w:rsid w:val="00DC4DFA"/>
    <w:rsid w:val="00DD6A52"/>
    <w:rsid w:val="00DF361C"/>
    <w:rsid w:val="00E0142B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2015-08-27T04:37:00Z</dcterms:created>
  <dcterms:modified xsi:type="dcterms:W3CDTF">2015-08-27T04:37:00Z</dcterms:modified>
  <dc:language>en-US</dc:language>
</cp:coreProperties>
</file>