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ภาวะใดต่อไปนี้</w:t>
            </w:r>
            <w:r>
              <w:rPr>
                <w:rFonts w:ascii="" w:hAnsi="" w:cs=""/>
                <w:b/>
                <w:b/>
                <w:bCs/>
                <w:sz w:val="32"/>
                <w:sz w:val="32"/>
                <w:szCs w:val="32"/>
                <w:u w:val="single"/>
              </w:rPr>
              <w:t>ไม่เหมาะสม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ในการใช้ </w:t>
            </w:r>
            <w:r>
              <w:rPr>
                <w:rFonts w:cs="" w:ascii="" w:hAnsi=""/>
                <w:sz w:val="32"/>
                <w:szCs w:val="32"/>
              </w:rPr>
              <w:t>skin traction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Septic arthritis of hip joint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Marked swollen supracondylar fracture in children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Already reduced hip joint dislocation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 xml:space="preserve">Fracture femoral neck </w:t>
            </w:r>
            <w:r>
              <w:rPr>
                <w:rFonts w:ascii="" w:hAnsi="" w:cs=""/>
                <w:sz w:val="32"/>
                <w:sz w:val="32"/>
                <w:szCs w:val="32"/>
              </w:rPr>
              <w:t>ที่รอการผ่าตัด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Fracture femoral shaft in adult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240" w:leader="none"/>
                <w:tab w:val="left" w:pos="49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2015-08-27T03:34:00Z</dcterms:created>
  <dc:creator>Customer</dc:creator>
  <dc:language>en-US</dc:language>
  <cp:lastModifiedBy>fon</cp:lastModifiedBy>
  <dcterms:modified xsi:type="dcterms:W3CDTF">2015-08-27T03:34:00Z</dcterms:modified>
  <cp:revision>2</cp:revision>
</cp:coreProperties>
</file>