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tabs>
                <w:tab w:val="left" w:pos="426" w:leader="none"/>
              </w:tabs>
              <w:suppressAutoHyphens w:val="false"/>
              <w:spacing w:before="0" w:after="200"/>
              <w:contextualSpacing/>
              <w:rPr>
                <w:rFonts w:ascii="AngsanaUPC" w:hAnsi="AngsanaUPC" w:cs="AngsanaUPC"/>
                <w:b/>
                <w:b/>
                <w:bCs/>
                <w:color w:val="00000A"/>
                <w:sz w:val="32"/>
                <w:sz w:val="32"/>
                <w:szCs w:val="32"/>
                <w:u w:val="single"/>
              </w:rPr>
            </w:pP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ผู้ป่วยเด็กอายุ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2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ขวบ แม่สังเกตว่าขาโก่งทั้ง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2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ข้าง ท่านตรวจพบว่ามี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Genu varus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 xml:space="preserve">ของขา </w:t>
            </w: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 xml:space="preserve">2 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>ข้าง ท่านคิดว่าข้อใด</w:t>
            </w:r>
            <w:r>
              <w:rPr>
                <w:rFonts w:ascii="AngsanaUPC" w:hAnsi="AngsanaUPC" w:cs="AngsanaUPC"/>
                <w:b/>
                <w:b/>
                <w:bCs/>
                <w:color w:val="00000A"/>
                <w:sz w:val="32"/>
                <w:sz w:val="32"/>
                <w:szCs w:val="32"/>
                <w:u w:val="single"/>
              </w:rPr>
              <w:t>น่า</w:t>
            </w:r>
            <w:r>
              <w:rPr>
                <w:rFonts w:ascii="AngsanaUPC" w:hAnsi="AngsanaUPC" w:cs="AngsanaUPC"/>
                <w:color w:val="00000A"/>
                <w:sz w:val="32"/>
                <w:sz w:val="32"/>
                <w:szCs w:val="32"/>
              </w:rPr>
              <w:t>จะเป็นสาเหตุที่</w:t>
            </w:r>
            <w:r>
              <w:rPr>
                <w:rFonts w:ascii="AngsanaUPC" w:hAnsi="AngsanaUPC" w:cs="AngsanaUPC"/>
                <w:b/>
                <w:b/>
                <w:bCs/>
                <w:color w:val="00000A"/>
                <w:sz w:val="32"/>
                <w:sz w:val="32"/>
                <w:szCs w:val="32"/>
                <w:u w:val="single"/>
              </w:rPr>
              <w:t>พบบ่อยที่สุด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Physiologic bowlegs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Blount’s disease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Rickets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Skeletal dysplasia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rPr>
                <w:rFonts w:cs="AngsanaUPC" w:ascii="AngsanaUPC" w:hAnsi="AngsanaUPC"/>
                <w:color w:val="00000A"/>
                <w:sz w:val="32"/>
                <w:szCs w:val="32"/>
              </w:rPr>
            </w:pPr>
            <w:r>
              <w:rPr>
                <w:rFonts w:cs="AngsanaUPC" w:ascii="AngsanaUPC" w:hAnsi="AngsanaUPC"/>
                <w:color w:val="00000A"/>
                <w:sz w:val="32"/>
                <w:szCs w:val="32"/>
              </w:rPr>
              <w:t>Malunion of proximal tibia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108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  <w:font w:name="AngsanaUPC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character" w:styleId="ListLabel3">
    <w:name w:val="ListLabel 3"/>
    <w:rPr>
      <w:rFonts w:cs="AngsanaUPC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32"/>
      <w:sz w:val="32"/>
      <w:szCs w:val="32"/>
      <w:u w:val="none"/>
      <w:vertAlign w:val="baseline"/>
    </w:rPr>
  </w:style>
  <w:style w:type="character" w:styleId="ListLabel4">
    <w:name w:val="ListLabel 4"/>
    <w:rPr>
      <w:rFonts w:eastAsia="Helvetica" w:cs="Helvetic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22"/>
      <w:sz w:val="22"/>
      <w:szCs w:val="22"/>
      <w:u w:val="none"/>
      <w:vertAlign w:val="baseline"/>
    </w:rPr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2015-08-21T02:37:00Z</dcterms:created>
  <dc:creator>Customer</dc:creator>
  <dc:language>en-US</dc:language>
  <cp:lastModifiedBy>fon</cp:lastModifiedBy>
  <dcterms:modified xsi:type="dcterms:W3CDTF">2015-08-21T02:37:00Z</dcterms:modified>
  <cp:revision>3</cp:revision>
</cp:coreProperties>
</file>