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  <Relationship Id="rId2" Type="http://schemas.openxmlformats.org/package/2006/relationships/metadata/core-properties" Target="docProps/core.xml"></Relationship>
  <Relationship Id="rId3" Type="http://schemas.openxmlformats.org/officeDocument/2006/relationships/extended-properties" Target="docProps/app.xml"></Relationship>
  <Relationship Id="rId4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vAlign w:val="top"/>
          </w:tcPr>
          <w:p>
            <w:pPr>
              <w:spacing w:before="4200"/>
            </w:pPr>
          </w:p>
          <w:p>
            <w:pPr>
              <w:spacing w:after="200" w:before="200" w:line="960" w:lineRule="atLeast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量化市场状态系统 V7.0 优化方案</w:t>
            </w:r>
          </w:p>
          <w:p>
            <w:pPr>
              <w:pBdr>
                <w:top w:val="single" w:color="D4AF37" w:sz="6" w:space="12"/>
              </w:pBdr>
              <w:spacing w:after="300" w:before="100"/>
              <w:ind w:left="400"/>
            </w:pPr>
          </w:p>
          <w:p>
            <w:pPr>
              <w:spacing w:after="100" w:before="200" w:line="480" w:lineRule="atLeast"/>
            </w:pPr>
            <w:r>
              <w:rPr>
                <w:rFonts w:ascii="Calibri" w:eastAsia="Microsoft YaHei"/>
                <w:color w:val="B0B8C0"/>
                <w:sz w:val="32"/>
                <w:szCs w:val="32"/>
              </w:rPr>
              <w:t xml:space="preserve">聚焦市场状态判断精细化，去除不必要逻辑及功能模块</w:t>
            </w:r>
          </w:p>
          <w:p>
            <w:pPr>
              <w:spacing w:before="1600"/>
            </w:pPr>
          </w:p>
          <w:p>
            <w:pPr>
              <w:spacing w:after="60" w:before="60"/>
              <w:ind w:left="400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基于 V6.0/V6.1 代码深度审计</w:t>
            </w:r>
          </w:p>
          <w:p>
            <w:pPr>
              <w:spacing w:after="60" w:before="60"/>
              <w:ind w:left="400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版本: V7.0 优化方案</w:t>
            </w:r>
          </w:p>
          <w:p>
            <w:pPr>
              <w:spacing w:after="60" w:before="60"/>
              <w:ind w:left="400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日期: 2026-05-21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bookmarkStart w:id="100000" w:name="_Toc100000"/>
      <w:r>
        <w:rPr>
          <w:rFonts w:ascii="Calibri" w:eastAsia="SimHei"/>
          <w:b/>
          <w:bCs/>
          <w:color w:val="0F2027"/>
          <w:sz w:val="32"/>
          <w:szCs w:val="32"/>
        </w:rPr>
        <w:t xml:space="preserve">目录</w:t>
      </w:r>
      <w:bookmarkEnd w:id="100000"/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目录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执行摘要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现状诊断：架构、逻辑、代码三层问题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架构层：模块重叠与职责模糊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逻辑层：市场状态判断过于浅薄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代码层：缺陷与技术债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2.3.1 合约管理器缺陷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2.3.2 期权PCR计算使用随机数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2.3.3 配置体系臆肿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可删除模块分析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市场状态判断精细化方案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从二维投射到三维立体模型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市场生态引擎设计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4.2.1 生态得分计算规则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4.3 动态阈值体系重设计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 V7.0 架构设计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5.1 模块精简方案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5.2 核心数据流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5.3 DerivativesSignalEngine 详细设计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5.4 MarketRegimeEngine 详细设计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 配置精简方案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6.1 配置分层重构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6.2 配置内容重组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 实施路线图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7.1 第一阶段：模块合并与 Bug 修复（1 周）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7.2 第二阶段：市场生态引擎（2 周）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7.3 第三阶段：精细化优化（1 周）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 预期收益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100"/>
      </w:pPr>
      <w:r>
        <w:rPr>
          <w:rFonts w:ascii="Calibri" w:eastAsia="Microsoft YaHei"/>
          <w:i/>
          <w:iCs/>
          <w:color w:val="808080"/>
          <w:sz w:val="18"/>
          <w:szCs w:val="18"/>
        </w:rPr>
        <w:t xml:space="preserve">请右键点击目录→“更新域”刷新页码</w:t>
      </w:r>
    </w:p>
    <w:p>
      <w:r>
        <w:br w:type="page"/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bookmarkStart w:id="100001" w:name="_Toc100001"/>
      <w:r>
        <w:rPr>
          <w:rFonts w:ascii="Calibri" w:eastAsia="SimHei"/>
          <w:b/>
          <w:bCs/>
          <w:color w:val="0F2027"/>
          <w:sz w:val="32"/>
          <w:szCs w:val="32"/>
        </w:rPr>
        <w:t xml:space="preserve">1. 执行摘要</w:t>
      </w:r>
      <w:bookmarkEnd w:id="100001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本报告基于对量化市场状态系统 V6.0 及 V6.1 全部源代码的深度审计，提出 V7.0 优化方案。审计覆盖 10 个核心模块、两套配置文件、近 3000 行业务代码，识别出系统架构、逻辑、代码三个层面的关键问题。</w:t>
      </w:r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核心发现：当前系统存在三大结构性问题——模块功能重叠、市场状态判断逻辑浅薄、配置体系臆肿。具体而言，CommodityEngineService 与 FuturesAnalysisService 计算逻辑超过 80% 重叠；市场状态仅依赖估值+趋势二维投射到九宫格，缺乏市场生态判断和多因子融合；YAML 配置文件近 900 行，存在大量冗余配置和硬编码合约。</w:t>
      </w:r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V7.0 方案的核心理念：“聚焦市场状态判断，专业化精细化判断，去除不必要逻辑及功能模块”。具体包括：将 10 个模块精简为 5 个核心模块，引入市场生态分类引擎，将配置文件从 900 行精简到 300 行以内，消除所有硬编码合约，并将市场状态判断从二维投射升级为多因子融合的三维立体模型。</w:t>
      </w:r>
    </w:p>
    <w:p>
      <w:pPr>
        <w:pStyle w:val="Heading1"/>
        <w:spacing w:after="200" w:before="480"/>
      </w:pPr>
      <w:bookmarkStart w:id="100002" w:name="_Toc100002"/>
      <w:r>
        <w:rPr>
          <w:rFonts w:ascii="Calibri" w:eastAsia="SimHei"/>
          <w:b/>
          <w:bCs/>
          <w:color w:val="0F2027"/>
          <w:sz w:val="32"/>
          <w:szCs w:val="32"/>
        </w:rPr>
        <w:t xml:space="preserve">2. 现状诊断：架构、逻辑、代码三层问题</w:t>
      </w:r>
      <w:bookmarkEnd w:id="100002"/>
    </w:p>
    <w:p>
      <w:pPr>
        <w:pStyle w:val="Heading2"/>
        <w:spacing w:after="160" w:before="360"/>
      </w:pPr>
      <w:bookmarkStart w:id="100003" w:name="_Toc100003"/>
      <w:r>
        <w:rPr>
          <w:rFonts w:ascii="Calibri" w:eastAsia="SimHei"/>
          <w:b/>
          <w:bCs/>
          <w:color w:val="0F2027"/>
          <w:sz w:val="28"/>
          <w:szCs w:val="28"/>
        </w:rPr>
        <w:t xml:space="preserve">2.1 架构层：模块重叠与职责模糊</w:t>
      </w:r>
      <w:bookmarkEnd w:id="100003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当前系统由 10 个服务组成，但多个模块存在严重的功能重叠和职责模糊问题。这不仅导致代码维护成本升高，更重要的是在市场状态判断时产生信号冲突和不一致性风险。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问题模块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重叠对象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重叠程度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影响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CommodityEngineService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FuturesAnalysisService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超过80%重叠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期限结构、产业景气度计算完全重复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OptionPCRService(V6)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OptionPCRAnalyzer(V5)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两套并行实现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PCR计算结果可能不一致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IndexMappingService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ContractManager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完全重叠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同一映射维护两套数据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MultiFactorPCRThresholdEngine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内置于OptionPCRService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逻辑交叉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阈值计算方式不统一</w:t>
            </w:r>
          </w:p>
        </w:tc>
      </w:tr>
    </w:tbl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其中最严重的问题是 CommodityEngineService 与 FuturesAnalysisService 的重叠。两个服务都包含商品期限结构计算、产业景气度评估和信号生成逻辑。在 V6.1 中，这两个模块的 calculate_industry_sentiment 方法的代码几乎完全一致，包括相同的 commodity_to_direction 映射、相同的 70/30 加权逻辑和相同的评分公式。这种重复不仅浪费开发资源，更埋下了未来维护时一处修改另一处遗漏的隐患。</w:t>
      </w:r>
    </w:p>
    <w:p>
      <w:pPr>
        <w:pStyle w:val="Heading2"/>
        <w:spacing w:after="160" w:before="360"/>
      </w:pPr>
      <w:bookmarkStart w:id="100004" w:name="_Toc100004"/>
      <w:r>
        <w:rPr>
          <w:rFonts w:ascii="Calibri" w:eastAsia="SimHei"/>
          <w:b/>
          <w:bCs/>
          <w:color w:val="0F2027"/>
          <w:sz w:val="28"/>
          <w:szCs w:val="28"/>
        </w:rPr>
        <w:t xml:space="preserve">2.2 逻辑层：市场状态判断过于浅薄</w:t>
      </w:r>
      <w:bookmarkEnd w:id="100004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当前系统的市场状态判断本质上是一个“估值安全边际 × 趋势动能”的二维投射，最终输出九宫格中的一个区域。这种判断方式存在三个核心缺陷：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缺乏市场生态判断：系统无法区分“牛市中期”与“熊市反弹”，两者在估值-趋势二维图上可能处于相同位置，但投资策略截然不同。市场生态（牛市/熊市/震荡/反弹）是最重要的元信息，应该驱动整个系统的策略选择。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信号融合机制缺失：PCR、基差、期限结构、波动率、宏观指标等多维度信号各自独立输出，没有统一的融合机制。当不同信号矛盾时（如PCR看涨但基差贴水），系统无法给出明确的优先级判断。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阈值体系硬编码：PCR信号的分界点（1.5/1.2/0.8/0.5）、基差阈值（-1.5%/-2.0%）、波动率阈值等均为固定值，未考虑不同市场生态下的自适应调整。在牛市中 PCR=1.3 和在熊市中 PCR=1.3 的含义截然不同，但系统对此无感知。</w:t>
      </w:r>
    </w:p>
    <w:p>
      <w:pPr>
        <w:pStyle w:val="Heading2"/>
        <w:spacing w:after="160" w:before="360"/>
      </w:pPr>
      <w:bookmarkStart w:id="100005" w:name="_Toc100005"/>
      <w:r>
        <w:rPr>
          <w:rFonts w:ascii="Calibri" w:eastAsia="SimHei"/>
          <w:b/>
          <w:bCs/>
          <w:color w:val="0F2027"/>
          <w:sz w:val="28"/>
          <w:szCs w:val="28"/>
        </w:rPr>
        <w:t xml:space="preserve">2.3 代码层：缺陷与技术债</w:t>
      </w:r>
      <w:bookmarkEnd w:id="100005"/>
    </w:p>
    <w:p>
      <w:pPr>
        <w:pStyle w:val="Heading3"/>
        <w:spacing w:after="120" w:before="240"/>
      </w:pPr>
      <w:bookmarkStart w:id="100006" w:name="_Toc100006"/>
      <w:r>
        <w:rPr>
          <w:rFonts w:ascii="Calibri" w:eastAsia="SimHei"/>
          <w:b/>
          <w:bCs/>
          <w:color w:val="1A2B40"/>
          <w:sz w:val="24"/>
          <w:szCs w:val="24"/>
        </w:rPr>
        <w:t xml:space="preserve">2.3.1 合约管理器缺陷</w:t>
      </w:r>
      <w:bookmarkEnd w:id="100006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ContractManager 是 V6.1 的核心新增模块，但存在两个关键 Bug。首先，FuturesContractPair 数据结构未存储 near_year 字段，导致 check_expiry_warnings() 方法中的 expiry_date 计算回退到 self.reference_date.year，这在年底跨年时会产生错误的到期日计算。其次，股指期货的当月合约判断逻辑简化为“15号前用当月，之后用下月”，但实际上股指期货交割日是合约月份的第三个周五，应该通过日历计算精确确定。</w:t>
      </w:r>
    </w:p>
    <w:p>
      <w:pPr>
        <w:pStyle w:val="Heading3"/>
        <w:spacing w:after="120" w:before="240"/>
      </w:pPr>
      <w:bookmarkStart w:id="100007" w:name="_Toc100007"/>
      <w:r>
        <w:rPr>
          <w:rFonts w:ascii="Calibri" w:eastAsia="SimHei"/>
          <w:b/>
          <w:bCs/>
          <w:color w:val="1A2B40"/>
          <w:sz w:val="24"/>
          <w:szCs w:val="24"/>
        </w:rPr>
        <w:t xml:space="preserve">2.3.2 期权PCR计算使用随机数</w:t>
      </w:r>
      <w:bookmarkEnd w:id="100007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V6.0 的 OptionPCRService.calculate_pcr() 中，PCR 值通过 np.random.uniform(0.8, 1.5) 生成，这是一个严重的功能缺陷。虽然 V6.1 的 OptionPCRService 已经实现了真实的 PCR 计算逻辑，但两套代码并存，存在误用旧版的风险。同时，V6.1 的 PCR 计算中看涨/看跌判断逻辑依赖字符串匹配（'-C-' in name、'C3' in name），这种方式不可靠，应该从 TDX 代码表中解析明确的期权类型字段。</w:t>
      </w:r>
    </w:p>
    <w:p>
      <w:pPr>
        <w:pStyle w:val="Heading3"/>
        <w:spacing w:after="120" w:before="240"/>
      </w:pPr>
      <w:bookmarkStart w:id="100008" w:name="_Toc100008"/>
      <w:r>
        <w:rPr>
          <w:rFonts w:ascii="Calibri" w:eastAsia="SimHei"/>
          <w:b/>
          <w:bCs/>
          <w:color w:val="1A2B40"/>
          <w:sz w:val="24"/>
          <w:szCs w:val="24"/>
        </w:rPr>
        <w:t xml:space="preserve">2.3.3 配置体系臆肿</w:t>
      </w:r>
      <w:bookmarkEnd w:id="100008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当前 YAML 配置文件近 900 行，存在三类问题。第一，大量冗余配置：option_tolerance 同时出现在根配置和 adaptive_config.strategies 中，commodity_thresholds 同样重复，缓存配置分散在 database.cache、performance.cache、cache 三处。第二，硬编码合约：尽管 V6.1 声称动态推导，但 commodity_contracts 配置中仍有注释授的硬编码示例（CU2606、AL2606 等）。第三，无效配置：backtest.enabled=false 占据多行但从未启用，visualization 配置应该在代码中而非 YAML 中。</w:t>
      </w:r>
    </w:p>
    <w:p>
      <w:pPr>
        <w:pStyle w:val="Heading1"/>
        <w:spacing w:after="200" w:before="480"/>
      </w:pPr>
      <w:bookmarkStart w:id="100009" w:name="_Toc100009"/>
      <w:r>
        <w:rPr>
          <w:rFonts w:ascii="Calibri" w:eastAsia="SimHei"/>
          <w:b/>
          <w:bCs/>
          <w:color w:val="0F2027"/>
          <w:sz w:val="32"/>
          <w:szCs w:val="32"/>
        </w:rPr>
        <w:t xml:space="preserve">3. 可删除模块分析</w:t>
      </w:r>
      <w:bookmarkEnd w:id="100009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基于“聚焦市场状态判断”的核心理念，以下模块应当被删除或合并，以减少系统复杂度并提高内聚性：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模块名称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处置方式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理由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替代方案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IndexMappingService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删除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与 ContractManager 完全重叠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ContractManager 已包含所有映射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OptionPCRAnalyzer(V5)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删除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旧版实现，应由 V6.1 版替代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OptionPCRService 统一实现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MultiFactorPCRThresholdEngine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合并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逻辑交叉，过度设计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融入 MarketRegimeEngine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CommodityEngineService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合并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与 FuturesAnalysisService 80%重叠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合并为 DerivativesSignalEngine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FuturesAnalysisService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合并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同上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合并为 DerivativesSignalEngine</w:t>
            </w:r>
          </w:p>
        </w:tc>
      </w:tr>
    </w:tbl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删除上述模块后，系统从 10 个服务精简为 5 个核心模块，代码量预计减少 40%，同时消除了信号冲突的根源。值得注意的是，MultiFactorPCRThresholdEngine 的多因子融合思路本身是有价值的，但其当前实现存在严重问题：波动率因子使用随机数模拟，流动性因子直接依赖旧版 OptionPCRAnalyzer，市场状态因子引入了循环依赖。因此应将其核心思路融入新的市场生态引擎中。</w:t>
      </w:r>
    </w:p>
    <w:p>
      <w:pPr>
        <w:pStyle w:val="Heading1"/>
        <w:spacing w:after="200" w:before="480"/>
      </w:pPr>
      <w:bookmarkStart w:id="100010" w:name="_Toc100010"/>
      <w:r>
        <w:rPr>
          <w:rFonts w:ascii="Calibri" w:eastAsia="SimHei"/>
          <w:b/>
          <w:bCs/>
          <w:color w:val="0F2027"/>
          <w:sz w:val="32"/>
          <w:szCs w:val="32"/>
        </w:rPr>
        <w:t xml:space="preserve">4. 市场状态判断精细化方案</w:t>
      </w:r>
      <w:bookmarkEnd w:id="100010"/>
    </w:p>
    <w:p>
      <w:pPr>
        <w:pStyle w:val="Heading2"/>
        <w:spacing w:after="160" w:before="360"/>
      </w:pPr>
      <w:bookmarkStart w:id="100011" w:name="_Toc100011"/>
      <w:r>
        <w:rPr>
          <w:rFonts w:ascii="Calibri" w:eastAsia="SimHei"/>
          <w:b/>
          <w:bCs/>
          <w:color w:val="0F2027"/>
          <w:sz w:val="28"/>
          <w:szCs w:val="28"/>
        </w:rPr>
        <w:t xml:space="preserve">4.1 从二维投射到三维立体模型</w:t>
      </w:r>
      <w:bookmarkEnd w:id="100011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当前系统的市场状态判断是基于“估值安全边际 × 趋势动能”的二维投射，类似于经典的美林时钟模型。这种模型的核心缺陷是无法区分市场生态：同样是“低估值+强趋势”，在牛市中期可能是加仓良机，在熊市反弹中可能是陷阱。</w:t>
      </w:r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V7.0 提议引入第三个维度——市场生态（Market Regime），将二维投射升级为三维立体模型。市场生态分为四种基本类型：牛市（Bull）、熊市（Bear）、震荡（Volatile）、反弹（Recovery）。这四种生态并非简单的标签，而是由多个客观指标加权投票得出的连续值，以平滑过渡和避免快速切换。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生态类型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判断指标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策略含义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牛市(Bull)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均线多头排列+成交量放大+PCR偏低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积极配置，高仓位，容忍波动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熊市(Bear)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均线空头排列+成交量萎缩+PCR偏高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防御配置，低仓位，保护本金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震荡(Volatile)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波动率急剧扩大+基差剧烈波动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对冲配置，降低仓位，等待方向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反弹(Recovery)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极端悲观后修复+流动性回升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左侧布局，分步建仓</w:t>
            </w:r>
          </w:p>
        </w:tc>
      </w:tr>
    </w:tbl>
    <w:p>
      <w:pPr>
        <w:pStyle w:val="Heading2"/>
        <w:spacing w:after="160" w:before="360"/>
      </w:pPr>
      <w:bookmarkStart w:id="100012" w:name="_Toc100012"/>
      <w:r>
        <w:rPr>
          <w:rFonts w:ascii="Calibri" w:eastAsia="SimHei"/>
          <w:b/>
          <w:bCs/>
          <w:color w:val="0F2027"/>
          <w:sz w:val="28"/>
          <w:szCs w:val="28"/>
        </w:rPr>
        <w:t xml:space="preserve">4.2 市场生态引擎设计</w:t>
      </w:r>
      <w:bookmarkEnd w:id="100012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市场生态引擎是 V7.0 的核心新增模块，负责将多维度信号融合为统一的市场生态判断。其设计遵循三个原则：第一，信号分层，先判断生态再判断状态；第二，动态阈值，所有阈值根据生态自适应调整；第三，确定性评估，每个判断都附带置信度。</w:t>
      </w:r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引擎的判断流程分为三步：首先，计算四个生态得分，每个生态的得分由其对应的判断指标加权计算而成，得分范围为 0-100。其次，通过 Softmax 归一化将四个得分转化为概率分布，避免硬切换。最后，输出主导生态（概率最高的）及其置信度，同时保留完整的概率分布供下游模块使用。</w:t>
      </w:r>
    </w:p>
    <w:p>
      <w:pPr>
        <w:pStyle w:val="Heading3"/>
        <w:spacing w:after="120" w:before="240"/>
      </w:pPr>
      <w:bookmarkStart w:id="100013" w:name="_Toc100013"/>
      <w:r>
        <w:rPr>
          <w:rFonts w:ascii="Calibri" w:eastAsia="SimHei"/>
          <w:b/>
          <w:bCs/>
          <w:color w:val="1A2B40"/>
          <w:sz w:val="24"/>
          <w:szCs w:val="24"/>
        </w:rPr>
        <w:t xml:space="preserve">4.2.1 生态得分计算规则</w:t>
      </w:r>
      <w:bookmarkEnd w:id="100013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牛市得分的计算指标包括：主要均线多头排列占比（权重 30%）、市场成交量趋势（25%）、PCR 偏低程度（20%）、基差升水或平水比例（15%）、宏观流动性指标（10%）。熊市得分的指标结构类似但方向相反。震荡得分侧重波动率扩张和基差剧烈波动。反弹得分侧重极端悲观后的修复信号。</w:t>
      </w:r>
    </w:p>
    <w:p>
      <w:pPr>
        <w:pStyle w:val="Heading2"/>
        <w:spacing w:after="160" w:before="360"/>
      </w:pPr>
      <w:bookmarkStart w:id="100014" w:name="_Toc100014"/>
      <w:r>
        <w:rPr>
          <w:rFonts w:ascii="Calibri" w:eastAsia="SimHei"/>
          <w:b/>
          <w:bCs/>
          <w:color w:val="0F2027"/>
          <w:sz w:val="28"/>
          <w:szCs w:val="28"/>
        </w:rPr>
        <w:t xml:space="preserve">4.3 动态阈值体系重设计</w:t>
      </w:r>
      <w:bookmarkEnd w:id="100014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当前系统的所有阈值都是固定值，这在不同市场生态下会产生严重的误判。V7.0 提议建立基于生态的动态阈值体系，核心思路是：阈值不是固定的数字，而是基于历史分位数和当前生态的函数。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指标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当前固定阈值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V7.0 动态阈值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PCR信号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1.5/1.2/0.8/0.5 固定分界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基于50日滚动分位数，生态修正±10%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基差信号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-1.5%/-2.0% 固定阈值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基于20日基差分位数，生态修正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波动率扩张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1.8/2.5 倍固定倍数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基于60日波动率分位数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流动性缩减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0.6/0.4 固定比例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基于20日成交量分位数</w:t>
            </w:r>
          </w:p>
        </w:tc>
      </w:tr>
    </w:tbl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动态阈值的计算公式为：threshold_dynamic = threshold_percentile + regime_adjustment，其中 threshold_percentile 基于历史窗口的分位数计算，regime_adjustment 根据当前生态进行偏移。例如，在熊市生态下，PCR 的“极度悲观”阈值应该上调（因为熊市中高 PCR 是常态），而在牛市中则应该下调。这样的设计使得信号判断更加精确，避免了“一套阈值走天下”的弊端。</w:t>
      </w:r>
    </w:p>
    <w:p>
      <w:pPr>
        <w:pStyle w:val="Heading1"/>
        <w:spacing w:after="200" w:before="480"/>
      </w:pPr>
      <w:bookmarkStart w:id="100015" w:name="_Toc100015"/>
      <w:r>
        <w:rPr>
          <w:rFonts w:ascii="Calibri" w:eastAsia="SimHei"/>
          <w:b/>
          <w:bCs/>
          <w:color w:val="0F2027"/>
          <w:sz w:val="32"/>
          <w:szCs w:val="32"/>
        </w:rPr>
        <w:t xml:space="preserve">5. V7.0 架构设计</w:t>
      </w:r>
      <w:bookmarkEnd w:id="100015"/>
    </w:p>
    <w:p>
      <w:pPr>
        <w:pStyle w:val="Heading2"/>
        <w:spacing w:after="160" w:before="360"/>
      </w:pPr>
      <w:bookmarkStart w:id="100016" w:name="_Toc100016"/>
      <w:r>
        <w:rPr>
          <w:rFonts w:ascii="Calibri" w:eastAsia="SimHei"/>
          <w:b/>
          <w:bCs/>
          <w:color w:val="0F2027"/>
          <w:sz w:val="28"/>
          <w:szCs w:val="28"/>
        </w:rPr>
        <w:t xml:space="preserve">5.1 模块精简方案</w:t>
      </w:r>
      <w:bookmarkEnd w:id="100016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将现有 10 个服务精简为 5 个核心模块，每个模块职责清晰、无重叠：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V7.0 模块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职责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合并来源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ContractManager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合约动态推导+全局映射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V6.1 ContractManager + IndexMappingService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DerivativesSignalEngine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期货+期权信号计算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CommodityEngineService + FuturesAnalysisService + OptionPCRService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MarketRegimeEngine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市场生态判断+动态阈值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新增核心模块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MarketStateClassifier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估值+趋势+生态→状态分类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MarketStateService + AllocationService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RiskAssessmentEngine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风险评估+仓位控制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RiskAssessmentService</w:t>
            </w:r>
          </w:p>
        </w:tc>
      </w:tr>
    </w:tbl>
    <w:p>
      <w:pPr>
        <w:pStyle w:val="Heading2"/>
        <w:spacing w:after="160" w:before="360"/>
      </w:pPr>
      <w:bookmarkStart w:id="100017" w:name="_Toc100017"/>
      <w:r>
        <w:rPr>
          <w:rFonts w:ascii="Calibri" w:eastAsia="SimHei"/>
          <w:b/>
          <w:bCs/>
          <w:color w:val="0F2027"/>
          <w:sz w:val="28"/>
          <w:szCs w:val="28"/>
        </w:rPr>
        <w:t xml:space="preserve">5.2 核心数据流</w:t>
      </w:r>
      <w:bookmarkEnd w:id="100017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V7.0 的数据流遵循“信号提取 → 生态判断 → 状态分类 → 风险评估”的四层流程。第一层，ContractManager 提供动态合约，DerivativesSignalEngine 计算多维度信号（期货信号、期权信号、基差信号、波动率信号）。第二层，MarketRegimeEngine 将多维度信号融合为市场生态判断。第三层，MarketStateClassifier 结合估值、趋势和生态，定位市场状态。第四层，RiskAssessmentEngine 基于状态和生态输出风险评估和仓位建议。</w:t>
      </w:r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这种分层设计的核心优势是：每个层次的输出都是结构化的、可解释的，且下游层次不会回溯影响上游。例如，市场生态的变化不会影响信号计算，但会影响阈值调整和状态分类。这保证了系统的稳定性和可观测性。</w:t>
      </w:r>
    </w:p>
    <w:p>
      <w:pPr>
        <w:pStyle w:val="Heading2"/>
        <w:spacing w:after="160" w:before="360"/>
      </w:pPr>
      <w:bookmarkStart w:id="100018" w:name="_Toc100018"/>
      <w:r>
        <w:rPr>
          <w:rFonts w:ascii="Calibri" w:eastAsia="SimHei"/>
          <w:b/>
          <w:bCs/>
          <w:color w:val="0F2027"/>
          <w:sz w:val="28"/>
          <w:szCs w:val="28"/>
        </w:rPr>
        <w:t xml:space="preserve">5.3 DerivativesSignalEngine 详细设计</w:t>
      </w:r>
      <w:bookmarkEnd w:id="100018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这是合并后的核心信号引擎，统一处理所有衍生品相关的信号计算。其内部分为三个子引擎：期货信号子引擎（负责商品期货的价格变动信号和期限结构信号）、期权信号子引擎（负责 PCR 计算和情绪信号）、基差信号子引擎（负责股指期货基差分析）。每个子引擎的输出都是统一格式的 Signal 对象，包含信号方向、强度、来源和置信度，便于下游的融合引擎统一处理。</w:t>
      </w:r>
    </w:p>
    <w:p>
      <w:pPr>
        <w:pStyle w:val="Heading2"/>
        <w:spacing w:after="160" w:before="360"/>
      </w:pPr>
      <w:bookmarkStart w:id="100019" w:name="_Toc100019"/>
      <w:r>
        <w:rPr>
          <w:rFonts w:ascii="Calibri" w:eastAsia="SimHei"/>
          <w:b/>
          <w:bCs/>
          <w:color w:val="0F2027"/>
          <w:sz w:val="28"/>
          <w:szCs w:val="28"/>
        </w:rPr>
        <w:t xml:space="preserve">5.4 MarketRegimeEngine 详细设计</w:t>
      </w:r>
      <w:bookmarkEnd w:id="100019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市场生态引擎是 V7.0 的核心创新模块。其输入来自 DerivativesSignalEngine 的多维度信号，输出为四种生态的概率分布。关键设计如下：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生态得分采用加权投票，权重根据指标的历史预测能力动态调整，而非固定权重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生态切换采用滞后机制，新生态需要连续 3 日确认才会切换，避免快速振荡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每个生态判断都附带确定性评分（0-1），低确定性时自动降低仓位建议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动态阈值根据生态自动调整，熊市中 PCR 阈值上调，牛市中下调</w:t>
      </w:r>
    </w:p>
    <w:p>
      <w:pPr>
        <w:pStyle w:val="Heading1"/>
        <w:spacing w:after="200" w:before="480"/>
      </w:pPr>
      <w:bookmarkStart w:id="100020" w:name="_Toc100020"/>
      <w:r>
        <w:rPr>
          <w:rFonts w:ascii="Calibri" w:eastAsia="SimHei"/>
          <w:b/>
          <w:bCs/>
          <w:color w:val="0F2027"/>
          <w:sz w:val="32"/>
          <w:szCs w:val="32"/>
        </w:rPr>
        <w:t xml:space="preserve">6. 配置精简方案</w:t>
      </w:r>
      <w:bookmarkEnd w:id="100020"/>
    </w:p>
    <w:p>
      <w:pPr>
        <w:pStyle w:val="Heading2"/>
        <w:spacing w:after="160" w:before="360"/>
      </w:pPr>
      <w:bookmarkStart w:id="100021" w:name="_Toc100021"/>
      <w:r>
        <w:rPr>
          <w:rFonts w:ascii="Calibri" w:eastAsia="SimHei"/>
          <w:b/>
          <w:bCs/>
          <w:color w:val="0F2027"/>
          <w:sz w:val="28"/>
          <w:szCs w:val="28"/>
        </w:rPr>
        <w:t xml:space="preserve">6.1 配置分层重构</w:t>
      </w:r>
      <w:bookmarkEnd w:id="100021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当前 900 行 YAML 应精简至 300 行以内，具体措施包括：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删除项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当前行数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backtest 配置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~10行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从未启用，删除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visualization 配置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~15行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应在代码中硬编码，非 YAML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重复的 option_tolerance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~25行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根配置和 adaptive_config 中重复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重复的 commodity_thresholds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~15行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重复的缓存配置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~15行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三处缓存配置合并为一处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硬编码合约注释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~20行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由 ContractManager 动态生成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correlation_matrix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~15行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未被代码使用，删除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data_quality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~10行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未被代码使用，删除</w:t>
            </w:r>
          </w:p>
        </w:tc>
      </w:tr>
    </w:tbl>
    <w:p>
      <w:pPr>
        <w:pStyle w:val="Heading2"/>
        <w:spacing w:after="160" w:before="360"/>
      </w:pPr>
      <w:bookmarkStart w:id="100022" w:name="_Toc100022"/>
      <w:r>
        <w:rPr>
          <w:rFonts w:ascii="Calibri" w:eastAsia="SimHei"/>
          <w:b/>
          <w:bCs/>
          <w:color w:val="0F2027"/>
          <w:sz w:val="28"/>
          <w:szCs w:val="28"/>
        </w:rPr>
        <w:t xml:space="preserve">6.2 配置内容重组</w:t>
      </w:r>
      <w:bookmarkEnd w:id="100022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精简后的配置文件应仅保留三类内容：第一，业务策略参数（合约管理器配置、生态判断权重、动态阈值参数）；第二，数据源配置（数据库、TDX 接口、代码表路径）；第三，风控参数（仓位限制、预警规则）。所有其他配置应该由代码内部默认值处理，而非沉淀在配置文件中。</w:t>
      </w:r>
    </w:p>
    <w:p>
      <w:pPr>
        <w:pStyle w:val="Heading1"/>
        <w:spacing w:after="200" w:before="480"/>
      </w:pPr>
      <w:bookmarkStart w:id="100023" w:name="_Toc100023"/>
      <w:r>
        <w:rPr>
          <w:rFonts w:ascii="Calibri" w:eastAsia="SimHei"/>
          <w:b/>
          <w:bCs/>
          <w:color w:val="0F2027"/>
          <w:sz w:val="32"/>
          <w:szCs w:val="32"/>
        </w:rPr>
        <w:t xml:space="preserve">7. 实施路线图</w:t>
      </w:r>
      <w:bookmarkEnd w:id="100023"/>
    </w:p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V7.0 的实施分为三个阶段，每个阶段都是可独立运行的，确保系统在任何阶段都能正常工作：</w:t>
      </w:r>
    </w:p>
    <w:p>
      <w:pPr>
        <w:pStyle w:val="Heading2"/>
        <w:spacing w:after="160" w:before="360"/>
      </w:pPr>
      <w:bookmarkStart w:id="100024" w:name="_Toc100024"/>
      <w:r>
        <w:rPr>
          <w:rFonts w:ascii="Calibri" w:eastAsia="SimHei"/>
          <w:b/>
          <w:bCs/>
          <w:color w:val="0F2027"/>
          <w:sz w:val="28"/>
          <w:szCs w:val="28"/>
        </w:rPr>
        <w:t xml:space="preserve">7.1 第一阶段：模块合并与 Bug 修复（1 周）</w:t>
      </w:r>
      <w:bookmarkEnd w:id="100024"/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合并 CommodityEngineService + FuturesAnalysisService → DerivativesSignalEngine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合并 OptionPCRService + OptionPCRAnalyzer → 统一的期权信号子引擎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删除 IndexMappingService，统一使用 ContractManager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修复 FuturesContractPair 缺少 near_year 字段的 Bug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修复股指期货交割日计算逻辑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精简 YAML 配置，删除冗余项</w:t>
      </w:r>
    </w:p>
    <w:p>
      <w:pPr>
        <w:pStyle w:val="Heading2"/>
        <w:spacing w:after="160" w:before="360"/>
      </w:pPr>
      <w:bookmarkStart w:id="100025" w:name="_Toc100025"/>
      <w:r>
        <w:rPr>
          <w:rFonts w:ascii="Calibri" w:eastAsia="SimHei"/>
          <w:b/>
          <w:bCs/>
          <w:color w:val="0F2027"/>
          <w:sz w:val="28"/>
          <w:szCs w:val="28"/>
        </w:rPr>
        <w:t xml:space="preserve">7.2 第二阶段：市场生态引擎（2 周）</w:t>
      </w:r>
      <w:bookmarkEnd w:id="100025"/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实现 MarketRegimeEngine 核心逻辑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实现四种生态的得分计算和融合逻辑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实现动态阈值体系，替换固定阈值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实现生态切换滞后机制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集成到主系统并进行回测验证</w:t>
      </w:r>
    </w:p>
    <w:p>
      <w:pPr>
        <w:pStyle w:val="Heading2"/>
        <w:spacing w:after="160" w:before="360"/>
      </w:pPr>
      <w:bookmarkStart w:id="100026" w:name="_Toc100026"/>
      <w:r>
        <w:rPr>
          <w:rFonts w:ascii="Calibri" w:eastAsia="SimHei"/>
          <w:b/>
          <w:bCs/>
          <w:color w:val="0F2027"/>
          <w:sz w:val="28"/>
          <w:szCs w:val="28"/>
        </w:rPr>
        <w:t xml:space="preserve">7.3 第三阶段：精细化优化（1 周）</w:t>
      </w:r>
      <w:bookmarkEnd w:id="100026"/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优化期权看涨/看跌判断逻辑，从字符串匹配改为结构化解析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完善确定性评分体系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添加信号融合冲突解决机制</w:t>
      </w:r>
    </w:p>
    <w:p>
      <w:pPr>
        <w:spacing w:line="312"/>
        <w:ind w:left="420" w:hanging="240"/>
      </w:pPr>
      <w:r>
        <w:rPr>
          <w:rFonts w:ascii="Calibri" w:eastAsia="Microsoft YaHei"/>
          <w:color w:val="D4AF37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全面回归测试和文档更新</w:t>
      </w:r>
    </w:p>
    <w:p>
      <w:pPr>
        <w:pStyle w:val="Heading1"/>
        <w:spacing w:after="200" w:before="480"/>
      </w:pPr>
      <w:bookmarkStart w:id="100027" w:name="_Toc100027"/>
      <w:r>
        <w:rPr>
          <w:rFonts w:ascii="Calibri" w:eastAsia="SimHei"/>
          <w:b/>
          <w:bCs/>
          <w:color w:val="0F2027"/>
          <w:sz w:val="32"/>
          <w:szCs w:val="32"/>
        </w:rPr>
        <w:t xml:space="preserve">8. 预期收益</w:t>
      </w:r>
      <w:bookmarkEnd w:id="100027"/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指标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V6.1 现状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V7.0 目标</w:t>
            </w:r>
          </w:p>
        </w:tc>
        <w:tc>
          <w:tcPr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改进幅度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核心模块数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10个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5个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减少 50%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代码量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~3000行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~1800行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减少 40%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配置文件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~900行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~300行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减少 67%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市场状态维度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二维（估值×趋势）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三维（估值×趋势×生态）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维度提升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阈值体系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固定阈值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动态阈值+生态修正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自适应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确定性评分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每个判断附带置信度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已知 Bug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2个关键 Bug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0</w:t>
            </w:r>
          </w:p>
        </w:tc>
        <w:tc>
          <w:tcPr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修复</w:t>
            </w:r>
          </w:p>
        </w:tc>
      </w:tr>
    </w:tbl>
    <w:p>
      <w:pPr>
        <w:spacing w:line="312"/>
        <w:ind w:firstLine="42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V7.0 的核心价值在于三个方面：第一，通过引入市场生态维度，显著提升市场状态判断的准确性，尤其是在生态转换期（牛市转熊市、熊市反弹）；第二，通过动态阈值体系，使信号判断更加精确，避免固定阈值在极端市场中的误判；第三，通过模块合并和配置精简，大幅降低系统复杂度和维护成本，同时消除了信号冲突的根源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color w:val="808080"/>
        <w:sz w:val="18"/>
      </w:rPr>
      <w:t>AI生成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8"/>
        <w:szCs w:val="18"/>
      </w:rPr>
      <w:t xml:space="preserve">量化市场状态系统 V7.0 优化方案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0F2027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0F2027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2026-05-21T07:01:45.771Z</dcterms:created>
  <dcterms:modified xsi:type="dcterms:W3CDTF">2026-05-21T07:01:45.771Z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{"Label":"1","ContentProducer":"001191110108MA01KP2T5U00000","ProduceID":"156a86de48c864201eef08d801461ed2","ReservedCode1":"","ContentPropagator":"001191110108MA01KP2T5U00000","PropagateID":"156a86de48c864201eef08d801461ed2","ReservedCode2":""}</vt:lpwstr>
  </property>
</Properties>
</file>