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66" w:type="pct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3056"/>
        <w:gridCol w:w="3057"/>
        <w:gridCol w:w="1492"/>
        <w:gridCol w:w="1565"/>
        <w:gridCol w:w="3057"/>
        <w:gridCol w:w="3057"/>
      </w:tblGrid>
      <w:tr w:rsidR="00DE69B6" w:rsidRPr="00E11072" w14:paraId="62764B8B" w14:textId="77777777" w:rsidTr="0026155F">
        <w:trPr>
          <w:trHeight w:hRule="exact" w:val="437"/>
        </w:trPr>
        <w:tc>
          <w:tcPr>
            <w:tcW w:w="1000" w:type="pct"/>
            <w:shd w:val="clear" w:color="auto" w:fill="003366"/>
            <w:vAlign w:val="center"/>
          </w:tcPr>
          <w:p w14:paraId="71CCEA87" w14:textId="77777777" w:rsidR="0054474A" w:rsidRPr="00E11072" w:rsidRDefault="003C7DBC" w:rsidP="0026155F">
            <w:pPr>
              <w:tabs>
                <w:tab w:val="center" w:pos="1773"/>
              </w:tabs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P</w:t>
            </w:r>
            <w:r w:rsidR="00653723" w:rsidRPr="00E11072">
              <w:rPr>
                <w:rFonts w:ascii="Calibri" w:hAnsi="Calibri" w:cs="Arial"/>
                <w:b/>
              </w:rPr>
              <w:t>roblem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CB8D543" w14:textId="415C0240" w:rsidR="0054474A" w:rsidRPr="00E11072" w:rsidRDefault="003C7DBC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Solution</w:t>
            </w:r>
            <w:r w:rsidR="00653723" w:rsidRPr="00E11072">
              <w:rPr>
                <w:rFonts w:ascii="Calibri" w:hAnsi="Calibri" w:cs="Arial"/>
                <w:b/>
              </w:rPr>
              <w:t xml:space="preserve"> / Hypothesis</w:t>
            </w:r>
          </w:p>
        </w:tc>
        <w:tc>
          <w:tcPr>
            <w:tcW w:w="1000" w:type="pct"/>
            <w:gridSpan w:val="2"/>
            <w:shd w:val="clear" w:color="auto" w:fill="003366"/>
            <w:vAlign w:val="center"/>
          </w:tcPr>
          <w:p w14:paraId="401F26A0" w14:textId="01CF1750" w:rsidR="0054474A" w:rsidRPr="008B2F76" w:rsidRDefault="003C7DBC" w:rsidP="0026155F">
            <w:pPr>
              <w:contextualSpacing/>
              <w:rPr>
                <w:rFonts w:ascii="Calibri" w:hAnsi="Calibri" w:cs="Arial"/>
                <w:b/>
              </w:rPr>
            </w:pPr>
            <w:r w:rsidRPr="008B2F76">
              <w:rPr>
                <w:rFonts w:ascii="Calibri" w:hAnsi="Calibri" w:cs="Arial"/>
                <w:b/>
              </w:rPr>
              <w:t>Unique Value</w:t>
            </w:r>
            <w:r w:rsidRPr="008B2F76">
              <w:rPr>
                <w:rFonts w:ascii="Calibri" w:hAnsi="Calibri" w:cs="Arial"/>
              </w:rPr>
              <w:t xml:space="preserve"> </w:t>
            </w:r>
            <w:r w:rsidRPr="008B2F76">
              <w:rPr>
                <w:rFonts w:ascii="Calibri" w:hAnsi="Calibri" w:cs="Arial"/>
                <w:b/>
              </w:rPr>
              <w:t>Proposition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06198F89" w14:textId="77777777" w:rsidR="0054474A" w:rsidRPr="008B2F76" w:rsidRDefault="00F52B8B" w:rsidP="0026155F">
            <w:pPr>
              <w:rPr>
                <w:rFonts w:ascii="Calibri" w:hAnsi="Calibri" w:cs="Arial"/>
                <w:b/>
              </w:rPr>
            </w:pPr>
            <w:r w:rsidRPr="008B2F76">
              <w:rPr>
                <w:rFonts w:ascii="Calibri" w:hAnsi="Calibri" w:cs="Arial"/>
                <w:b/>
              </w:rPr>
              <w:t>Potential Data Sets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3F2751B4" w14:textId="00BE052C" w:rsidR="0054474A" w:rsidRPr="00E11072" w:rsidRDefault="0026155F" w:rsidP="0026155F">
            <w:pPr>
              <w:contextualSpacing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Stakeholders &amp; </w:t>
            </w:r>
            <w:r w:rsidR="000B0349" w:rsidRPr="00E11072">
              <w:rPr>
                <w:rFonts w:ascii="Calibri" w:hAnsi="Calibri" w:cs="Arial"/>
                <w:b/>
              </w:rPr>
              <w:t>Customers</w:t>
            </w:r>
          </w:p>
        </w:tc>
      </w:tr>
      <w:tr w:rsidR="00DE69B6" w:rsidRPr="00E11072" w14:paraId="7702C129" w14:textId="77777777" w:rsidTr="0026155F">
        <w:trPr>
          <w:trHeight w:val="3926"/>
        </w:trPr>
        <w:tc>
          <w:tcPr>
            <w:tcW w:w="1000" w:type="pct"/>
            <w:vMerge w:val="restart"/>
          </w:tcPr>
          <w:p w14:paraId="78BBCBBB" w14:textId="6E11826E" w:rsidR="008B0BE2" w:rsidRPr="008B0BE2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  <w:r w:rsidRPr="008B0BE2">
              <w:rPr>
                <w:rFonts w:ascii="Calibri" w:hAnsi="Calibri" w:cs="Arial"/>
                <w:sz w:val="22"/>
                <w:szCs w:val="22"/>
              </w:rPr>
              <w:t xml:space="preserve">The </w:t>
            </w:r>
            <w:r w:rsidRPr="008B0BE2">
              <w:rPr>
                <w:rFonts w:ascii="Calibri" w:hAnsi="Calibri" w:cs="Arial"/>
                <w:sz w:val="22"/>
                <w:szCs w:val="22"/>
              </w:rPr>
              <w:t>Business Service team</w:t>
            </w:r>
            <w:r w:rsidRPr="008B0BE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0BE2">
              <w:rPr>
                <w:rFonts w:ascii="Calibri" w:hAnsi="Calibri" w:cs="Arial"/>
                <w:sz w:val="22"/>
                <w:szCs w:val="22"/>
              </w:rPr>
              <w:t>wishes to consolidate a new reporting framework</w:t>
            </w:r>
            <w:r w:rsidRPr="008B0BE2">
              <w:rPr>
                <w:rFonts w:ascii="Calibri" w:hAnsi="Calibri" w:cs="Arial"/>
                <w:sz w:val="22"/>
                <w:szCs w:val="22"/>
              </w:rPr>
              <w:t>, i</w:t>
            </w:r>
            <w:r w:rsidRPr="008B0BE2">
              <w:rPr>
                <w:rFonts w:ascii="Calibri" w:hAnsi="Calibri" w:cs="Arial"/>
                <w:sz w:val="22"/>
                <w:szCs w:val="22"/>
              </w:rPr>
              <w:t xml:space="preserve">n order to achieve functional automation, and avoid repetitive computation of same-type indicators. </w:t>
            </w:r>
          </w:p>
          <w:p w14:paraId="1BEB5E9F" w14:textId="77777777" w:rsidR="008B0BE2" w:rsidRPr="008B0BE2" w:rsidRDefault="008B0BE2" w:rsidP="008B0BE2">
            <w:pPr>
              <w:pStyle w:val="ListParagraph"/>
              <w:rPr>
                <w:rFonts w:ascii="Calibri" w:hAnsi="Calibri" w:cs="Arial"/>
                <w:sz w:val="22"/>
                <w:szCs w:val="22"/>
              </w:rPr>
            </w:pPr>
          </w:p>
          <w:p w14:paraId="2C758496" w14:textId="290959C2" w:rsidR="0088020D" w:rsidRPr="008B0BE2" w:rsidRDefault="008B0BE2" w:rsidP="008B0BE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B0BE2">
              <w:rPr>
                <w:rFonts w:ascii="Calibri" w:hAnsi="Calibri" w:cs="Arial"/>
                <w:sz w:val="22"/>
                <w:szCs w:val="22"/>
              </w:rPr>
              <w:t xml:space="preserve">The seasonality analysis on the bus patronage is not yet conducted. While the effect of seasonality is an important property of the Transport network performance. </w:t>
            </w:r>
          </w:p>
        </w:tc>
        <w:tc>
          <w:tcPr>
            <w:tcW w:w="1000" w:type="pct"/>
          </w:tcPr>
          <w:p w14:paraId="239910C4" w14:textId="66C52BA9" w:rsidR="008B0BE2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</w:t>
            </w:r>
            <w:r w:rsidRPr="008B0BE2">
              <w:rPr>
                <w:rFonts w:ascii="Calibri" w:hAnsi="Calibri" w:cs="Arial"/>
                <w:sz w:val="22"/>
                <w:szCs w:val="22"/>
              </w:rPr>
              <w:t xml:space="preserve">wo dashboards will be built </w:t>
            </w:r>
            <w:r>
              <w:rPr>
                <w:rFonts w:ascii="Calibri" w:hAnsi="Calibri" w:cs="Arial"/>
                <w:sz w:val="22"/>
                <w:szCs w:val="22"/>
              </w:rPr>
              <w:t>to monitor t</w:t>
            </w:r>
            <w:r w:rsidRPr="008B0BE2">
              <w:rPr>
                <w:rFonts w:ascii="Calibri" w:hAnsi="Calibri" w:cs="Arial"/>
                <w:sz w:val="22"/>
                <w:szCs w:val="22"/>
              </w:rPr>
              <w:t>he transport network performance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Pr="008B0BE2">
              <w:rPr>
                <w:rFonts w:ascii="Calibri" w:hAnsi="Calibri" w:cs="Arial"/>
                <w:sz w:val="22"/>
                <w:szCs w:val="22"/>
              </w:rPr>
              <w:t xml:space="preserve">Additionally, </w:t>
            </w:r>
            <w:r>
              <w:rPr>
                <w:rFonts w:ascii="Calibri" w:hAnsi="Calibri" w:cs="Arial"/>
                <w:sz w:val="22"/>
                <w:szCs w:val="22"/>
              </w:rPr>
              <w:t>various</w:t>
            </w:r>
            <w:r w:rsidRPr="008B0BE2">
              <w:rPr>
                <w:rFonts w:ascii="Calibri" w:hAnsi="Calibri" w:cs="Arial"/>
                <w:sz w:val="22"/>
                <w:szCs w:val="22"/>
              </w:rPr>
              <w:t xml:space="preserve"> indicators could be adjusted by slicing on date range and transport mode (Bus or </w:t>
            </w:r>
            <w:proofErr w:type="spellStart"/>
            <w:r w:rsidRPr="008B0BE2">
              <w:rPr>
                <w:rFonts w:ascii="Calibri" w:hAnsi="Calibri" w:cs="Arial"/>
                <w:sz w:val="22"/>
                <w:szCs w:val="22"/>
              </w:rPr>
              <w:t>LightRail</w:t>
            </w:r>
            <w:proofErr w:type="spellEnd"/>
            <w:r w:rsidRPr="008B0BE2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proofErr w:type="spellStart"/>
            <w:r w:rsidRPr="008B0BE2">
              <w:rPr>
                <w:rFonts w:ascii="Calibri" w:hAnsi="Calibri" w:cs="Arial"/>
                <w:sz w:val="22"/>
                <w:szCs w:val="22"/>
              </w:rPr>
              <w:t>MyWay</w:t>
            </w:r>
            <w:proofErr w:type="spellEnd"/>
            <w:r w:rsidRPr="008B0BE2">
              <w:rPr>
                <w:rFonts w:ascii="Calibri" w:hAnsi="Calibri" w:cs="Arial"/>
                <w:sz w:val="22"/>
                <w:szCs w:val="22"/>
              </w:rPr>
              <w:t xml:space="preserve"> Card or Ticket) etc. </w:t>
            </w:r>
          </w:p>
          <w:p w14:paraId="3528D779" w14:textId="7ADF1811" w:rsidR="008B0BE2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5BAB3F95" w14:textId="72CA2C63" w:rsidR="008B0BE2" w:rsidRPr="008B0BE2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  <w:r w:rsidRPr="008B0BE2">
              <w:rPr>
                <w:rFonts w:ascii="Calibri" w:hAnsi="Calibri" w:cs="Arial"/>
                <w:sz w:val="22"/>
                <w:szCs w:val="22"/>
              </w:rPr>
              <w:t>The seasonality analysis and furthermore the anomalies detection will be conducted on the bus boarding data set.</w:t>
            </w:r>
          </w:p>
          <w:p w14:paraId="6D6D2409" w14:textId="5575CF28" w:rsidR="00ED406B" w:rsidRPr="00E11072" w:rsidRDefault="00ED406B" w:rsidP="002A3FA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  <w:gridSpan w:val="2"/>
            <w:vMerge w:val="restart"/>
          </w:tcPr>
          <w:p w14:paraId="6FA7A633" w14:textId="41F08FF3" w:rsidR="00653723" w:rsidRPr="008B2F76" w:rsidRDefault="00653723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8B2F76">
              <w:rPr>
                <w:rFonts w:ascii="Calibri" w:hAnsi="Calibri" w:cs="Arial"/>
                <w:b/>
                <w:sz w:val="22"/>
                <w:szCs w:val="22"/>
              </w:rPr>
              <w:t>Benefits</w:t>
            </w:r>
            <w:r w:rsidR="00480A66" w:rsidRPr="008B2F76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62AB2A71" w14:textId="043AD10E" w:rsidR="008B0BE2" w:rsidRPr="008B2F76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 xml:space="preserve">Ongoing monitoring and </w:t>
            </w:r>
            <w:r w:rsidRPr="008B2F76">
              <w:rPr>
                <w:rFonts w:ascii="Calibri" w:hAnsi="Calibri" w:cs="Arial"/>
                <w:sz w:val="22"/>
                <w:szCs w:val="22"/>
              </w:rPr>
              <w:t>continued awareness of the performance of the transport network;</w:t>
            </w:r>
          </w:p>
          <w:p w14:paraId="5F72AF25" w14:textId="77777777" w:rsidR="008B0BE2" w:rsidRPr="008B2F76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5B881681" w14:textId="0527854A" w:rsidR="008B0BE2" w:rsidRPr="008B2F76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 xml:space="preserve">Helping </w:t>
            </w:r>
            <w:r w:rsidRPr="008B2F76">
              <w:rPr>
                <w:rFonts w:ascii="Calibri" w:hAnsi="Calibri" w:cs="Arial"/>
                <w:sz w:val="22"/>
                <w:szCs w:val="22"/>
              </w:rPr>
              <w:t>other Transport Canberra internal operations to solve problems and make operational decisions on Transport services;</w:t>
            </w:r>
          </w:p>
          <w:p w14:paraId="00F2F8AE" w14:textId="77777777" w:rsidR="008B0BE2" w:rsidRPr="008B2F76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0ED42A75" w14:textId="36E755CC" w:rsidR="008B0BE2" w:rsidRPr="008B2F76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Achieving functional automation and efficiency by using the dashboards to assist reporting;</w:t>
            </w:r>
          </w:p>
          <w:p w14:paraId="63D33D70" w14:textId="77777777" w:rsidR="008B0BE2" w:rsidRPr="008B2F76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399FB0E5" w14:textId="66312CA8" w:rsidR="008B0BE2" w:rsidRPr="008B2F76" w:rsidRDefault="008B0BE2" w:rsidP="008B0BE2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Identifying</w:t>
            </w:r>
            <w:r w:rsidRPr="008B2F76">
              <w:rPr>
                <w:rFonts w:ascii="Calibri" w:hAnsi="Calibri" w:cs="Arial"/>
                <w:sz w:val="22"/>
                <w:szCs w:val="22"/>
              </w:rPr>
              <w:t xml:space="preserve"> the seasonality, trends and potential anomalies of the bus patronage</w:t>
            </w:r>
            <w:r w:rsidRPr="008B2F7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2F76">
              <w:rPr>
                <w:rFonts w:ascii="Calibri" w:hAnsi="Calibri" w:cs="Arial"/>
                <w:sz w:val="22"/>
                <w:szCs w:val="22"/>
              </w:rPr>
              <w:t>assist</w:t>
            </w:r>
            <w:r w:rsidRPr="008B2F76">
              <w:rPr>
                <w:rFonts w:ascii="Calibri" w:hAnsi="Calibri" w:cs="Arial"/>
                <w:sz w:val="22"/>
                <w:szCs w:val="22"/>
              </w:rPr>
              <w:t>s</w:t>
            </w:r>
            <w:r w:rsidRPr="008B2F76">
              <w:rPr>
                <w:rFonts w:ascii="Calibri" w:hAnsi="Calibri" w:cs="Arial"/>
                <w:sz w:val="22"/>
                <w:szCs w:val="22"/>
              </w:rPr>
              <w:t xml:space="preserve"> to better understand the performance of Bus System.</w:t>
            </w:r>
          </w:p>
          <w:p w14:paraId="7B811EB7" w14:textId="01878453" w:rsidR="00653723" w:rsidRPr="008B2F76" w:rsidRDefault="00653723" w:rsidP="008B0BE2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8B2F76">
              <w:rPr>
                <w:rFonts w:ascii="Calibri" w:hAnsi="Calibri" w:cs="Arial"/>
                <w:b/>
                <w:sz w:val="22"/>
                <w:szCs w:val="22"/>
              </w:rPr>
              <w:t>Strategic Alignment</w:t>
            </w:r>
            <w:r w:rsidR="00480A66" w:rsidRPr="008B2F76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69F43AAF" w14:textId="7ABB022A" w:rsidR="008B0BE2" w:rsidRPr="008B2F76" w:rsidRDefault="008B0BE2" w:rsidP="005254B4">
            <w:pPr>
              <w:pStyle w:val="ListParagraph"/>
              <w:numPr>
                <w:ilvl w:val="0"/>
                <w:numId w:val="11"/>
              </w:numPr>
              <w:ind w:left="356"/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Open Data Strategy</w:t>
            </w:r>
          </w:p>
          <w:p w14:paraId="2247CAC6" w14:textId="3BF2BAC7" w:rsidR="00E24BB6" w:rsidRPr="008B2F76" w:rsidRDefault="008B0BE2" w:rsidP="005254B4">
            <w:pPr>
              <w:pStyle w:val="ListParagraph"/>
              <w:numPr>
                <w:ilvl w:val="0"/>
                <w:numId w:val="11"/>
              </w:numPr>
              <w:ind w:left="356"/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Reporting consolidation</w:t>
            </w:r>
          </w:p>
        </w:tc>
        <w:tc>
          <w:tcPr>
            <w:tcW w:w="1000" w:type="pct"/>
          </w:tcPr>
          <w:p w14:paraId="7ED15A7C" w14:textId="72BD750E" w:rsidR="008B2F76" w:rsidRPr="008B2F76" w:rsidRDefault="008B2F76" w:rsidP="008B2F76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2F76">
              <w:rPr>
                <w:rFonts w:ascii="Calibri" w:hAnsi="Calibri" w:cs="Arial"/>
                <w:sz w:val="22"/>
                <w:szCs w:val="22"/>
              </w:rPr>
              <w:t>Bus and Light Rail Patronage data</w:t>
            </w:r>
          </w:p>
          <w:p w14:paraId="40894C7F" w14:textId="6F772E86" w:rsidR="008B2F76" w:rsidRPr="008B2F76" w:rsidRDefault="008B2F76" w:rsidP="008B2F76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2F76">
              <w:rPr>
                <w:rFonts w:ascii="Calibri" w:hAnsi="Calibri" w:cs="Arial"/>
                <w:sz w:val="22"/>
                <w:szCs w:val="22"/>
              </w:rPr>
              <w:t>Bus Stops</w:t>
            </w:r>
          </w:p>
          <w:p w14:paraId="6E486AF1" w14:textId="3CCD2C10" w:rsidR="008B2F76" w:rsidRPr="008B2F76" w:rsidRDefault="008B2F76" w:rsidP="008B2F76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2F76">
              <w:rPr>
                <w:rFonts w:ascii="Calibri" w:hAnsi="Calibri" w:cs="Arial"/>
                <w:sz w:val="22"/>
                <w:szCs w:val="22"/>
              </w:rPr>
              <w:t>Bus Routes</w:t>
            </w:r>
          </w:p>
          <w:p w14:paraId="6B3B9257" w14:textId="32B1320E" w:rsidR="008B2F76" w:rsidRPr="008B2F76" w:rsidRDefault="008B2F76" w:rsidP="008B2F76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2F76">
              <w:rPr>
                <w:rFonts w:ascii="Calibri" w:hAnsi="Calibri" w:cs="Arial"/>
                <w:sz w:val="22"/>
                <w:szCs w:val="22"/>
              </w:rPr>
              <w:t>Bus Service Reliability and Punctuality</w:t>
            </w:r>
          </w:p>
          <w:p w14:paraId="6769F7EF" w14:textId="3DF66355" w:rsidR="008B2F76" w:rsidRPr="008B2F76" w:rsidRDefault="008B2F76" w:rsidP="008B2F76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2F76">
              <w:rPr>
                <w:rFonts w:ascii="Calibri" w:hAnsi="Calibri" w:cs="Arial"/>
                <w:sz w:val="22"/>
                <w:szCs w:val="22"/>
              </w:rPr>
              <w:t>Customer Feedback</w:t>
            </w:r>
          </w:p>
          <w:p w14:paraId="67596E0E" w14:textId="284B9426" w:rsidR="008B2F76" w:rsidRPr="008B2F76" w:rsidRDefault="008B2F76" w:rsidP="008B2F76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2F76">
              <w:rPr>
                <w:rFonts w:ascii="Calibri" w:hAnsi="Calibri" w:cs="Arial"/>
                <w:sz w:val="22"/>
                <w:szCs w:val="22"/>
              </w:rPr>
              <w:t>Australian Public Holiday Date Data</w:t>
            </w:r>
          </w:p>
          <w:p w14:paraId="00005F93" w14:textId="0BE5ECB7" w:rsidR="00A77513" w:rsidRPr="008B2F76" w:rsidRDefault="008B2F76" w:rsidP="008B2F76">
            <w:pPr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8B2F76">
              <w:rPr>
                <w:rFonts w:ascii="Calibri" w:hAnsi="Calibri" w:cs="Arial"/>
                <w:sz w:val="22"/>
                <w:szCs w:val="22"/>
              </w:rPr>
              <w:t>Canberra Suburbs Postcode Location Data</w:t>
            </w:r>
          </w:p>
        </w:tc>
        <w:tc>
          <w:tcPr>
            <w:tcW w:w="1000" w:type="pct"/>
            <w:vMerge w:val="restart"/>
          </w:tcPr>
          <w:p w14:paraId="295F2DB2" w14:textId="77777777" w:rsidR="00F67464" w:rsidRPr="00E11072" w:rsidRDefault="00F67464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Business Sponsor</w:t>
            </w:r>
            <w:r w:rsidR="001A0A2C"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26C0F4F0" w14:textId="3CEB2EF0" w:rsidR="001A0A2C" w:rsidRPr="00E11072" w:rsidRDefault="008B2F76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Olivia Jiang</w:t>
            </w:r>
          </w:p>
          <w:p w14:paraId="53817566" w14:textId="77777777" w:rsidR="00F67464" w:rsidRPr="00E11072" w:rsidRDefault="00F67464" w:rsidP="00F67464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Main Business Area</w:t>
            </w:r>
            <w:r w:rsidR="001A0A2C"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1478ABD4" w14:textId="1259C6C1" w:rsidR="001A0A2C" w:rsidRPr="00E11072" w:rsidRDefault="008B2F76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Transport Canberra and Business Service (Bus and Light Rail Operation)</w:t>
            </w:r>
          </w:p>
          <w:p w14:paraId="74648DBF" w14:textId="77777777" w:rsidR="00F67464" w:rsidRPr="00E11072" w:rsidRDefault="00F67464" w:rsidP="00F828DF">
            <w:pPr>
              <w:rPr>
                <w:rFonts w:ascii="Calibri" w:hAnsi="Calibri" w:cs="Arial"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Main Contact:</w:t>
            </w:r>
            <w:r w:rsidRPr="00E1107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4A97E6B3" w14:textId="5453C8F9" w:rsidR="00260A8F" w:rsidRPr="00E11072" w:rsidRDefault="008B2F76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Nathan Urban</w:t>
            </w:r>
          </w:p>
          <w:p w14:paraId="2B844926" w14:textId="7D74598A" w:rsidR="00480A66" w:rsidRPr="00E11072" w:rsidRDefault="00480A66" w:rsidP="00480A6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Stakeholders</w:t>
            </w:r>
            <w:r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  <w:r w:rsidRPr="00E1107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152EBC72" w14:textId="2C6857E3" w:rsidR="008B2F76" w:rsidRDefault="008B2F76" w:rsidP="008B2F76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Selva Murugesan</w:t>
            </w:r>
            <w:r w:rsidR="00AA4277">
              <w:rPr>
                <w:rFonts w:ascii="Calibri" w:hAnsi="Calibri" w:cs="Arial"/>
                <w:sz w:val="22"/>
                <w:szCs w:val="22"/>
              </w:rPr>
              <w:t xml:space="preserve"> (IDA Team)</w:t>
            </w:r>
          </w:p>
          <w:p w14:paraId="296C3F51" w14:textId="797A7AB5" w:rsidR="008B2F76" w:rsidRPr="00AA4277" w:rsidRDefault="008B2F76" w:rsidP="00AA4277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8B2F76">
              <w:rPr>
                <w:rFonts w:ascii="Calibri" w:hAnsi="Calibri" w:cs="Arial"/>
                <w:sz w:val="22"/>
                <w:szCs w:val="22"/>
              </w:rPr>
              <w:t>Executive Group Manager</w:t>
            </w:r>
          </w:p>
          <w:p w14:paraId="407A50BF" w14:textId="4D4892EC" w:rsidR="00EA64B0" w:rsidRPr="00E11072" w:rsidRDefault="001A0A2C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 xml:space="preserve">Other Directorates / </w:t>
            </w:r>
            <w:r w:rsidR="00480A66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E11072">
              <w:rPr>
                <w:rFonts w:ascii="Calibri" w:hAnsi="Calibri" w:cs="Arial"/>
                <w:b/>
                <w:sz w:val="22"/>
                <w:szCs w:val="22"/>
              </w:rPr>
              <w:t>gencies:</w:t>
            </w:r>
          </w:p>
          <w:p w14:paraId="28985507" w14:textId="13B36349" w:rsidR="00E24BB6" w:rsidRPr="00E11072" w:rsidRDefault="00AA4277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N/A</w:t>
            </w:r>
          </w:p>
        </w:tc>
      </w:tr>
      <w:tr w:rsidR="00F52B8B" w:rsidRPr="00E11072" w14:paraId="59E8AB5D" w14:textId="77777777" w:rsidTr="0026155F">
        <w:trPr>
          <w:trHeight w:val="387"/>
        </w:trPr>
        <w:tc>
          <w:tcPr>
            <w:tcW w:w="1000" w:type="pct"/>
            <w:vMerge/>
          </w:tcPr>
          <w:p w14:paraId="3FB93702" w14:textId="308F2BCE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  <w:shd w:val="clear" w:color="auto" w:fill="003366"/>
            <w:vAlign w:val="center"/>
          </w:tcPr>
          <w:p w14:paraId="3F801DF8" w14:textId="77777777" w:rsidR="00F52B8B" w:rsidRPr="00E11072" w:rsidRDefault="00F52B8B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Complexity</w:t>
            </w:r>
            <w:r w:rsidR="00CC3C00" w:rsidRPr="00E11072">
              <w:rPr>
                <w:rFonts w:ascii="Calibri" w:hAnsi="Calibri" w:cs="Arial"/>
                <w:b/>
              </w:rPr>
              <w:t xml:space="preserve"> - Type</w:t>
            </w:r>
          </w:p>
        </w:tc>
        <w:tc>
          <w:tcPr>
            <w:tcW w:w="1000" w:type="pct"/>
            <w:gridSpan w:val="2"/>
            <w:vMerge/>
          </w:tcPr>
          <w:p w14:paraId="310A8F8E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  <w:shd w:val="clear" w:color="auto" w:fill="003366"/>
            <w:vAlign w:val="center"/>
          </w:tcPr>
          <w:p w14:paraId="7D3219F7" w14:textId="77777777" w:rsidR="00F52B8B" w:rsidRPr="00E11072" w:rsidRDefault="00F52B8B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Risk / Issues</w:t>
            </w:r>
          </w:p>
        </w:tc>
        <w:tc>
          <w:tcPr>
            <w:tcW w:w="1000" w:type="pct"/>
            <w:vMerge/>
          </w:tcPr>
          <w:p w14:paraId="061B21B4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2B8B" w:rsidRPr="00E11072" w14:paraId="10652C27" w14:textId="77777777" w:rsidTr="0026155F">
        <w:trPr>
          <w:trHeight w:val="1450"/>
        </w:trPr>
        <w:tc>
          <w:tcPr>
            <w:tcW w:w="1000" w:type="pct"/>
            <w:vMerge/>
          </w:tcPr>
          <w:p w14:paraId="4E02F8BC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</w:tcPr>
          <w:p w14:paraId="566D526F" w14:textId="77777777" w:rsidR="008B2F76" w:rsidRDefault="008B2F76" w:rsidP="008B2F76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Data Access: low complexity</w:t>
            </w:r>
          </w:p>
          <w:p w14:paraId="3B00500E" w14:textId="47EAAB87" w:rsidR="008B2F76" w:rsidRDefault="008B2F76" w:rsidP="008B2F76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Dashboard building: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med-high </w:t>
            </w:r>
            <w:r>
              <w:rPr>
                <w:rFonts w:ascii="Calibri" w:hAnsi="Calibri" w:cs="Arial"/>
                <w:sz w:val="22"/>
                <w:szCs w:val="22"/>
              </w:rPr>
              <w:t>complexity</w:t>
            </w:r>
          </w:p>
          <w:p w14:paraId="10C330AA" w14:textId="30EE433F" w:rsidR="008B2F76" w:rsidRDefault="008B2F76" w:rsidP="008B2F76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Data analysis: med-high complexity</w:t>
            </w:r>
          </w:p>
          <w:p w14:paraId="630D17FD" w14:textId="76944DF3" w:rsidR="00F52B8B" w:rsidRPr="00E11072" w:rsidRDefault="008B2F76" w:rsidP="008B2F7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Report collation: low</w:t>
            </w:r>
            <w:r>
              <w:rPr>
                <w:rFonts w:ascii="Calibri" w:hAnsi="Calibri" w:cs="Arial"/>
                <w:sz w:val="22"/>
                <w:szCs w:val="22"/>
              </w:rPr>
              <w:t>-med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complexity</w:t>
            </w:r>
          </w:p>
        </w:tc>
        <w:tc>
          <w:tcPr>
            <w:tcW w:w="1000" w:type="pct"/>
            <w:gridSpan w:val="2"/>
            <w:vMerge/>
          </w:tcPr>
          <w:p w14:paraId="085E40FF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</w:tcPr>
          <w:p w14:paraId="1611797A" w14:textId="5B6FF559" w:rsidR="00CD10D1" w:rsidRPr="008B2F76" w:rsidRDefault="008B2F76" w:rsidP="008B2F76">
            <w:pPr>
              <w:rPr>
                <w:rFonts w:ascii="Calibri" w:hAnsi="Calibri" w:cs="Arial"/>
                <w:sz w:val="22"/>
                <w:szCs w:val="22"/>
                <w:lang w:val="en-AU"/>
              </w:rPr>
            </w:pPr>
            <w:r w:rsidRPr="008B2F76">
              <w:rPr>
                <w:rFonts w:ascii="Calibri" w:hAnsi="Calibri" w:cs="Arial"/>
                <w:sz w:val="22"/>
                <w:szCs w:val="22"/>
                <w:lang w:val="en-AU"/>
              </w:rPr>
              <w:t>Lacking of published data may cause incompletion of the dashboards. If this happens, we could temporarily remove relevant components from the dashboard template, and leave space for future extensions.</w:t>
            </w:r>
          </w:p>
        </w:tc>
        <w:tc>
          <w:tcPr>
            <w:tcW w:w="1000" w:type="pct"/>
            <w:vMerge/>
          </w:tcPr>
          <w:p w14:paraId="376DF538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D119C" w:rsidRPr="00E11072" w14:paraId="43899C04" w14:textId="77777777" w:rsidTr="0026155F">
        <w:trPr>
          <w:trHeight w:val="435"/>
        </w:trPr>
        <w:tc>
          <w:tcPr>
            <w:tcW w:w="1000" w:type="pct"/>
            <w:shd w:val="clear" w:color="auto" w:fill="003366"/>
            <w:vAlign w:val="center"/>
          </w:tcPr>
          <w:p w14:paraId="5585E442" w14:textId="3F44DC71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Strategic Alignment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0C92AAEC" w14:textId="3EDDBFDD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Clear Problem Statement</w:t>
            </w:r>
          </w:p>
        </w:tc>
        <w:tc>
          <w:tcPr>
            <w:tcW w:w="1000" w:type="pct"/>
            <w:gridSpan w:val="2"/>
            <w:shd w:val="clear" w:color="auto" w:fill="003366"/>
            <w:vAlign w:val="center"/>
          </w:tcPr>
          <w:p w14:paraId="71B3C545" w14:textId="10B4BCEC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Actionable Impact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8A3E859" w14:textId="44199D9E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Available data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A2CCB8D" w14:textId="0EEA4AFE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Buy-in from Stakeholders</w:t>
            </w:r>
          </w:p>
        </w:tc>
      </w:tr>
      <w:tr w:rsidR="00AD119C" w:rsidRPr="00E11072" w14:paraId="3534441A" w14:textId="77777777" w:rsidTr="0026155F">
        <w:trPr>
          <w:trHeight w:val="125"/>
        </w:trPr>
        <w:tc>
          <w:tcPr>
            <w:tcW w:w="1000" w:type="pct"/>
          </w:tcPr>
          <w:p w14:paraId="4449FEB6" w14:textId="2FA000EA" w:rsidR="00AD119C" w:rsidRPr="00AA4277" w:rsidRDefault="00AA4277" w:rsidP="0026155F">
            <w:pPr>
              <w:contextualSpacing/>
              <w:jc w:val="center"/>
              <w:rPr>
                <w:rFonts w:ascii="Calibri" w:hAnsi="Calibri" w:cs="Arial"/>
              </w:rPr>
            </w:pPr>
            <w:r w:rsidRPr="00AA4277">
              <w:rPr>
                <w:rFonts w:ascii="Calibri" w:hAnsi="Calibri" w:cs="Arial"/>
              </w:rPr>
              <w:t>H</w:t>
            </w:r>
            <w:r w:rsidR="00AD119C" w:rsidRPr="00AA4277">
              <w:rPr>
                <w:rFonts w:ascii="Calibri" w:hAnsi="Calibri" w:cs="Arial"/>
              </w:rPr>
              <w:t>igh</w:t>
            </w:r>
          </w:p>
        </w:tc>
        <w:tc>
          <w:tcPr>
            <w:tcW w:w="1000" w:type="pct"/>
          </w:tcPr>
          <w:p w14:paraId="65BD711E" w14:textId="15FFA7BC" w:rsidR="00AD119C" w:rsidRPr="0011002F" w:rsidRDefault="0011002F" w:rsidP="0026155F">
            <w:pPr>
              <w:contextualSpacing/>
              <w:jc w:val="center"/>
              <w:rPr>
                <w:rFonts w:ascii="Calibri" w:hAnsi="Calibri" w:cs="Arial"/>
                <w:bCs/>
              </w:rPr>
            </w:pPr>
            <w:r w:rsidRPr="0011002F">
              <w:rPr>
                <w:rFonts w:ascii="Calibri" w:hAnsi="Calibri" w:cs="Arial"/>
                <w:bCs/>
              </w:rPr>
              <w:t>High</w:t>
            </w:r>
          </w:p>
        </w:tc>
        <w:tc>
          <w:tcPr>
            <w:tcW w:w="1000" w:type="pct"/>
            <w:gridSpan w:val="2"/>
          </w:tcPr>
          <w:p w14:paraId="2FA98668" w14:textId="72EE9040" w:rsidR="00AD119C" w:rsidRPr="00AA4277" w:rsidRDefault="0011002F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>High</w:t>
            </w:r>
          </w:p>
        </w:tc>
        <w:tc>
          <w:tcPr>
            <w:tcW w:w="1000" w:type="pct"/>
          </w:tcPr>
          <w:p w14:paraId="15961CF3" w14:textId="2CB8FCA3" w:rsidR="00AD119C" w:rsidRPr="0011002F" w:rsidRDefault="0011002F" w:rsidP="0026155F">
            <w:pPr>
              <w:contextualSpacing/>
              <w:jc w:val="center"/>
              <w:rPr>
                <w:rFonts w:ascii="Calibri" w:hAnsi="Calibri" w:cs="Arial"/>
                <w:bCs/>
              </w:rPr>
            </w:pPr>
            <w:r w:rsidRPr="0011002F">
              <w:rPr>
                <w:rFonts w:ascii="Calibri" w:hAnsi="Calibri" w:cs="Arial"/>
                <w:bCs/>
              </w:rPr>
              <w:t>Med</w:t>
            </w:r>
          </w:p>
        </w:tc>
        <w:tc>
          <w:tcPr>
            <w:tcW w:w="1000" w:type="pct"/>
          </w:tcPr>
          <w:p w14:paraId="21397B19" w14:textId="4A436AE9" w:rsidR="00AD119C" w:rsidRPr="0011002F" w:rsidRDefault="0011002F" w:rsidP="0026155F">
            <w:pPr>
              <w:contextualSpacing/>
              <w:jc w:val="center"/>
              <w:rPr>
                <w:rFonts w:ascii="Calibri" w:hAnsi="Calibri" w:cs="Arial"/>
                <w:bCs/>
              </w:rPr>
            </w:pPr>
            <w:r w:rsidRPr="0011002F">
              <w:rPr>
                <w:rFonts w:ascii="Calibri" w:hAnsi="Calibri" w:cs="Arial"/>
                <w:bCs/>
              </w:rPr>
              <w:t>High</w:t>
            </w:r>
          </w:p>
        </w:tc>
      </w:tr>
      <w:tr w:rsidR="00F52B8B" w:rsidRPr="0026155F" w14:paraId="3D5D5F94" w14:textId="77777777" w:rsidTr="0026155F">
        <w:trPr>
          <w:trHeight w:val="390"/>
        </w:trPr>
        <w:tc>
          <w:tcPr>
            <w:tcW w:w="2488" w:type="pct"/>
            <w:gridSpan w:val="3"/>
            <w:shd w:val="clear" w:color="auto" w:fill="003366"/>
            <w:vAlign w:val="center"/>
          </w:tcPr>
          <w:p w14:paraId="713FD795" w14:textId="2BDD109B" w:rsidR="0026155F" w:rsidRPr="0026155F" w:rsidRDefault="008154B1" w:rsidP="0026155F">
            <w:pPr>
              <w:contextualSpacing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Cost and </w:t>
            </w:r>
            <w:r w:rsidR="00AD119C" w:rsidRPr="00AD119C">
              <w:rPr>
                <w:rFonts w:ascii="Calibri" w:hAnsi="Calibri" w:cs="Arial"/>
                <w:b/>
              </w:rPr>
              <w:t>Resources</w:t>
            </w:r>
          </w:p>
        </w:tc>
        <w:tc>
          <w:tcPr>
            <w:tcW w:w="2512" w:type="pct"/>
            <w:gridSpan w:val="3"/>
            <w:shd w:val="clear" w:color="auto" w:fill="003366"/>
            <w:vAlign w:val="center"/>
          </w:tcPr>
          <w:p w14:paraId="47630902" w14:textId="43AB14BA" w:rsidR="005012F7" w:rsidRPr="0026155F" w:rsidRDefault="005012F7" w:rsidP="0026155F">
            <w:pPr>
              <w:contextualSpacing/>
              <w:rPr>
                <w:rFonts w:ascii="Calibri" w:hAnsi="Calibri" w:cs="Arial"/>
                <w:b/>
              </w:rPr>
            </w:pPr>
            <w:r w:rsidRPr="005012F7">
              <w:rPr>
                <w:rFonts w:ascii="Calibri" w:hAnsi="Calibri" w:cs="Arial"/>
                <w:b/>
              </w:rPr>
              <w:t>Key Success Indicators</w:t>
            </w:r>
          </w:p>
        </w:tc>
      </w:tr>
      <w:tr w:rsidR="0026155F" w:rsidRPr="00E11072" w14:paraId="50D58F08" w14:textId="77777777" w:rsidTr="00AA4277">
        <w:trPr>
          <w:trHeight w:val="674"/>
        </w:trPr>
        <w:tc>
          <w:tcPr>
            <w:tcW w:w="2488" w:type="pct"/>
            <w:gridSpan w:val="3"/>
          </w:tcPr>
          <w:p w14:paraId="7222EF7A" w14:textId="7763699C" w:rsidR="0026155F" w:rsidRPr="00AA4277" w:rsidRDefault="00AA4277" w:rsidP="00AA4277">
            <w:pPr>
              <w:pStyle w:val="ListParagraph"/>
              <w:ind w:left="356"/>
              <w:rPr>
                <w:rFonts w:ascii="Calibri" w:hAnsi="Calibri" w:cs="Arial"/>
                <w:bCs/>
              </w:rPr>
            </w:pPr>
            <w:r w:rsidRPr="00AA4277">
              <w:rPr>
                <w:rFonts w:ascii="Calibri" w:hAnsi="Calibri" w:cs="Arial"/>
                <w:bCs/>
              </w:rPr>
              <w:t>N/A</w:t>
            </w:r>
          </w:p>
        </w:tc>
        <w:tc>
          <w:tcPr>
            <w:tcW w:w="2512" w:type="pct"/>
            <w:gridSpan w:val="3"/>
          </w:tcPr>
          <w:p w14:paraId="3A96DCAD" w14:textId="77777777" w:rsidR="00AA4277" w:rsidRPr="00AA4277" w:rsidRDefault="00AA4277" w:rsidP="00AA427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Arial"/>
                <w:bCs/>
              </w:rPr>
            </w:pPr>
            <w:r w:rsidRPr="00AA4277">
              <w:rPr>
                <w:rFonts w:ascii="Calibri" w:hAnsi="Calibri" w:cs="Arial"/>
                <w:bCs/>
              </w:rPr>
              <w:t>Implementation of functionally efficient dashboards</w:t>
            </w:r>
          </w:p>
          <w:p w14:paraId="489CBD67" w14:textId="77777777" w:rsidR="00AA4277" w:rsidRPr="00AA4277" w:rsidRDefault="00AA4277" w:rsidP="00AA427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Arial"/>
                <w:bCs/>
              </w:rPr>
            </w:pPr>
            <w:r w:rsidRPr="00AA4277">
              <w:rPr>
                <w:rFonts w:ascii="Calibri" w:hAnsi="Calibri" w:cs="Arial"/>
                <w:bCs/>
              </w:rPr>
              <w:t>Completion of data analysis report and case study</w:t>
            </w:r>
          </w:p>
          <w:p w14:paraId="401AE91E" w14:textId="77777777" w:rsidR="00AA4277" w:rsidRPr="00AA4277" w:rsidRDefault="00AA4277" w:rsidP="00AA427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Arial"/>
                <w:bCs/>
              </w:rPr>
            </w:pPr>
            <w:r w:rsidRPr="00AA4277">
              <w:rPr>
                <w:rFonts w:ascii="Calibri" w:hAnsi="Calibri" w:cs="Arial"/>
                <w:bCs/>
              </w:rPr>
              <w:t>Collation of clear and extendable documentation</w:t>
            </w:r>
          </w:p>
          <w:p w14:paraId="414A0CB0" w14:textId="77777777" w:rsidR="0026155F" w:rsidRPr="0026155F" w:rsidRDefault="0026155F" w:rsidP="00AA4277">
            <w:pPr>
              <w:pStyle w:val="ListParagraph"/>
              <w:ind w:left="356"/>
              <w:rPr>
                <w:rFonts w:ascii="Calibri" w:hAnsi="Calibri" w:cs="Arial"/>
                <w:b/>
              </w:rPr>
            </w:pPr>
          </w:p>
        </w:tc>
      </w:tr>
    </w:tbl>
    <w:p w14:paraId="4228800A" w14:textId="464FAA77" w:rsidR="00C372E4" w:rsidRPr="00480A66" w:rsidRDefault="00C372E4" w:rsidP="00480A66">
      <w:pPr>
        <w:spacing w:before="120"/>
        <w:rPr>
          <w:rFonts w:ascii="Calibri" w:hAnsi="Calibri"/>
          <w:sz w:val="22"/>
        </w:rPr>
      </w:pPr>
    </w:p>
    <w:sectPr w:rsidR="00C372E4" w:rsidRPr="00480A66" w:rsidSect="00480A66">
      <w:headerReference w:type="even" r:id="rId11"/>
      <w:headerReference w:type="default" r:id="rId12"/>
      <w:footerReference w:type="default" r:id="rId13"/>
      <w:pgSz w:w="16839" w:h="11907" w:orient="landscape" w:code="9"/>
      <w:pgMar w:top="0" w:right="720" w:bottom="284" w:left="720" w:header="391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5EEFF" w14:textId="77777777" w:rsidR="00B44406" w:rsidRDefault="00B44406" w:rsidP="003C7DBC">
      <w:r>
        <w:separator/>
      </w:r>
    </w:p>
  </w:endnote>
  <w:endnote w:type="continuationSeparator" w:id="0">
    <w:p w14:paraId="2B3D7530" w14:textId="77777777" w:rsidR="00B44406" w:rsidRDefault="00B44406" w:rsidP="003C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3250D" w14:textId="24DAB41C" w:rsidR="00480A66" w:rsidRPr="00480A66" w:rsidRDefault="00480A66" w:rsidP="00480A66">
    <w:pPr>
      <w:pStyle w:val="Footer"/>
      <w:rPr>
        <w:rFonts w:asciiTheme="majorHAnsi" w:hAnsiTheme="majorHAnsi"/>
        <w:sz w:val="20"/>
      </w:rPr>
    </w:pPr>
    <w:r w:rsidRPr="00480A66">
      <w:rPr>
        <w:rFonts w:asciiTheme="majorHAnsi" w:hAnsiTheme="majorHAnsi"/>
        <w:sz w:val="20"/>
      </w:rPr>
      <w:fldChar w:fldCharType="begin"/>
    </w:r>
    <w:r w:rsidRPr="00480A66">
      <w:rPr>
        <w:rFonts w:asciiTheme="majorHAnsi" w:hAnsiTheme="majorHAnsi"/>
        <w:sz w:val="20"/>
      </w:rPr>
      <w:instrText xml:space="preserve"> DATE \@ "dd/MM/yyyy" </w:instrText>
    </w:r>
    <w:r w:rsidRPr="00480A66">
      <w:rPr>
        <w:rFonts w:asciiTheme="majorHAnsi" w:hAnsiTheme="majorHAnsi"/>
        <w:sz w:val="20"/>
      </w:rPr>
      <w:fldChar w:fldCharType="separate"/>
    </w:r>
    <w:r w:rsidR="008B0BE2">
      <w:rPr>
        <w:rFonts w:asciiTheme="majorHAnsi" w:hAnsiTheme="majorHAnsi"/>
        <w:noProof/>
        <w:sz w:val="20"/>
      </w:rPr>
      <w:t>07/08/2020</w:t>
    </w:r>
    <w:r w:rsidRPr="00480A66">
      <w:rPr>
        <w:rFonts w:asciiTheme="majorHAnsi" w:hAnsiTheme="maj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C449C" w14:textId="77777777" w:rsidR="00B44406" w:rsidRDefault="00B44406" w:rsidP="003C7DBC">
      <w:r>
        <w:separator/>
      </w:r>
    </w:p>
  </w:footnote>
  <w:footnote w:type="continuationSeparator" w:id="0">
    <w:p w14:paraId="3F2F48AC" w14:textId="77777777" w:rsidR="00B44406" w:rsidRDefault="00B44406" w:rsidP="003C7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" w:hAnsi="Cambria"/>
      </w:rPr>
      <w:alias w:val="Title"/>
      <w:id w:val="1158727522"/>
      <w:placeholder>
        <w:docPart w:val="381641B38CCD7245BB6647F6E1D298B0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59312C5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1912579975"/>
      <w:placeholder>
        <w:docPart w:val="B8386E440229AA409733DBC75ABB6F8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26440FD8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1C20AA1D" w14:textId="77777777" w:rsidR="003C7DBC" w:rsidRDefault="003C7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EC2A8" w14:textId="0C9310B6" w:rsidR="003C7DBC" w:rsidRPr="00AA4277" w:rsidRDefault="00AA4277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="Calibri" w:hAnsi="Calibri" w:cs="Arial"/>
        <w:sz w:val="28"/>
        <w:szCs w:val="28"/>
        <w:lang w:val="en-AU"/>
      </w:rPr>
    </w:pPr>
    <w:r w:rsidRPr="00AA4277">
      <w:rPr>
        <w:rFonts w:ascii="Calibri" w:hAnsi="Calibri" w:cs="Arial"/>
        <w:sz w:val="28"/>
        <w:szCs w:val="28"/>
      </w:rPr>
      <w:t>TCCS Business Service</w:t>
    </w:r>
    <w:r w:rsidR="007322F7" w:rsidRPr="00AA4277">
      <w:rPr>
        <w:rFonts w:ascii="Calibri" w:hAnsi="Calibri" w:cs="Arial"/>
        <w:sz w:val="28"/>
        <w:szCs w:val="28"/>
      </w:rPr>
      <w:t xml:space="preserve"> - </w:t>
    </w:r>
    <w:r w:rsidRPr="00AA4277">
      <w:rPr>
        <w:rFonts w:ascii="Calibri" w:hAnsi="Calibri" w:cs="Arial"/>
        <w:sz w:val="28"/>
        <w:szCs w:val="28"/>
      </w:rPr>
      <w:t xml:space="preserve">Bus Patronage </w:t>
    </w:r>
    <w:r>
      <w:rPr>
        <w:rFonts w:ascii="Calibri" w:hAnsi="Calibri" w:cs="Arial"/>
        <w:sz w:val="28"/>
        <w:szCs w:val="28"/>
      </w:rPr>
      <w:t>Dashboard</w:t>
    </w:r>
    <w:r w:rsidRPr="00AA4277">
      <w:rPr>
        <w:rFonts w:ascii="Calibri" w:hAnsi="Calibri" w:cs="Arial"/>
        <w:sz w:val="28"/>
        <w:szCs w:val="28"/>
      </w:rPr>
      <w:t xml:space="preserve"> Project</w:t>
    </w:r>
  </w:p>
  <w:p w14:paraId="219EE1FF" w14:textId="77777777" w:rsidR="00480A66" w:rsidRDefault="00480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7392"/>
    <w:multiLevelType w:val="hybridMultilevel"/>
    <w:tmpl w:val="0C98A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74A7"/>
    <w:multiLevelType w:val="hybridMultilevel"/>
    <w:tmpl w:val="8C24AC28"/>
    <w:lvl w:ilvl="0" w:tplc="8766E4D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33AAA"/>
    <w:multiLevelType w:val="hybridMultilevel"/>
    <w:tmpl w:val="EA6A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B456E"/>
    <w:multiLevelType w:val="hybridMultilevel"/>
    <w:tmpl w:val="92DEB3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15706"/>
    <w:multiLevelType w:val="hybridMultilevel"/>
    <w:tmpl w:val="840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4EF"/>
    <w:multiLevelType w:val="hybridMultilevel"/>
    <w:tmpl w:val="F7647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294C"/>
    <w:multiLevelType w:val="hybridMultilevel"/>
    <w:tmpl w:val="8CF8B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F37FC1"/>
    <w:multiLevelType w:val="hybridMultilevel"/>
    <w:tmpl w:val="E41EF8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424CF"/>
    <w:multiLevelType w:val="hybridMultilevel"/>
    <w:tmpl w:val="C30E7E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3012"/>
    <w:multiLevelType w:val="hybridMultilevel"/>
    <w:tmpl w:val="A030E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57FD"/>
    <w:multiLevelType w:val="hybridMultilevel"/>
    <w:tmpl w:val="B794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71D5B"/>
    <w:multiLevelType w:val="hybridMultilevel"/>
    <w:tmpl w:val="BAB0A3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825F73"/>
    <w:multiLevelType w:val="hybridMultilevel"/>
    <w:tmpl w:val="1398350C"/>
    <w:lvl w:ilvl="0" w:tplc="8766E4D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B7CA2"/>
    <w:multiLevelType w:val="hybridMultilevel"/>
    <w:tmpl w:val="6C9AD5A2"/>
    <w:lvl w:ilvl="0" w:tplc="8766E4D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9B2C46"/>
    <w:multiLevelType w:val="hybridMultilevel"/>
    <w:tmpl w:val="8F228A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EC054C"/>
    <w:multiLevelType w:val="hybridMultilevel"/>
    <w:tmpl w:val="AB2EA756"/>
    <w:lvl w:ilvl="0" w:tplc="0C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6" w15:restartNumberingAfterBreak="0">
    <w:nsid w:val="76167D38"/>
    <w:multiLevelType w:val="hybridMultilevel"/>
    <w:tmpl w:val="99A6F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960FA"/>
    <w:multiLevelType w:val="hybridMultilevel"/>
    <w:tmpl w:val="66763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7"/>
  </w:num>
  <w:num w:numId="5">
    <w:abstractNumId w:val="4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2"/>
  </w:num>
  <w:num w:numId="12">
    <w:abstractNumId w:val="15"/>
  </w:num>
  <w:num w:numId="13">
    <w:abstractNumId w:val="10"/>
  </w:num>
  <w:num w:numId="14">
    <w:abstractNumId w:val="16"/>
  </w:num>
  <w:num w:numId="15">
    <w:abstractNumId w:val="6"/>
  </w:num>
  <w:num w:numId="16">
    <w:abstractNumId w:val="12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4A"/>
    <w:rsid w:val="00070DD4"/>
    <w:rsid w:val="000B0349"/>
    <w:rsid w:val="000C099E"/>
    <w:rsid w:val="000C43A5"/>
    <w:rsid w:val="000D4AFB"/>
    <w:rsid w:val="0011002F"/>
    <w:rsid w:val="00120DCF"/>
    <w:rsid w:val="00126EDD"/>
    <w:rsid w:val="001375C9"/>
    <w:rsid w:val="00156D97"/>
    <w:rsid w:val="00163EF5"/>
    <w:rsid w:val="001A0A2C"/>
    <w:rsid w:val="001B25DE"/>
    <w:rsid w:val="001D16C3"/>
    <w:rsid w:val="001F2C5B"/>
    <w:rsid w:val="001F48F5"/>
    <w:rsid w:val="00260A8F"/>
    <w:rsid w:val="0026155F"/>
    <w:rsid w:val="0028633F"/>
    <w:rsid w:val="002A2F62"/>
    <w:rsid w:val="002A3FA4"/>
    <w:rsid w:val="002B28D7"/>
    <w:rsid w:val="002B48B3"/>
    <w:rsid w:val="002D0AC9"/>
    <w:rsid w:val="002E6C0A"/>
    <w:rsid w:val="00306D5D"/>
    <w:rsid w:val="00313B71"/>
    <w:rsid w:val="00337565"/>
    <w:rsid w:val="003404AB"/>
    <w:rsid w:val="00390240"/>
    <w:rsid w:val="003C7DBC"/>
    <w:rsid w:val="003F4583"/>
    <w:rsid w:val="00404A98"/>
    <w:rsid w:val="00410D54"/>
    <w:rsid w:val="00414355"/>
    <w:rsid w:val="0045047D"/>
    <w:rsid w:val="00480A66"/>
    <w:rsid w:val="004A1072"/>
    <w:rsid w:val="004B7119"/>
    <w:rsid w:val="004C07AF"/>
    <w:rsid w:val="004C6140"/>
    <w:rsid w:val="004F51BC"/>
    <w:rsid w:val="005012F7"/>
    <w:rsid w:val="00520D97"/>
    <w:rsid w:val="00523C6D"/>
    <w:rsid w:val="005254B4"/>
    <w:rsid w:val="0054474A"/>
    <w:rsid w:val="00556EEC"/>
    <w:rsid w:val="00575571"/>
    <w:rsid w:val="005D35A5"/>
    <w:rsid w:val="005E0423"/>
    <w:rsid w:val="00615C35"/>
    <w:rsid w:val="00623061"/>
    <w:rsid w:val="00635880"/>
    <w:rsid w:val="00653723"/>
    <w:rsid w:val="006552D3"/>
    <w:rsid w:val="0067110E"/>
    <w:rsid w:val="006806C0"/>
    <w:rsid w:val="006938EA"/>
    <w:rsid w:val="006A4F2B"/>
    <w:rsid w:val="006E40CF"/>
    <w:rsid w:val="007031A8"/>
    <w:rsid w:val="00704A33"/>
    <w:rsid w:val="00704F88"/>
    <w:rsid w:val="007322F7"/>
    <w:rsid w:val="00755173"/>
    <w:rsid w:val="00763D42"/>
    <w:rsid w:val="0077485A"/>
    <w:rsid w:val="007A7316"/>
    <w:rsid w:val="007B66E9"/>
    <w:rsid w:val="00800D00"/>
    <w:rsid w:val="008154B1"/>
    <w:rsid w:val="00831822"/>
    <w:rsid w:val="00845B3C"/>
    <w:rsid w:val="00846DC4"/>
    <w:rsid w:val="0087291F"/>
    <w:rsid w:val="0088020D"/>
    <w:rsid w:val="008A1924"/>
    <w:rsid w:val="008B0BE2"/>
    <w:rsid w:val="008B2F76"/>
    <w:rsid w:val="008B5E5E"/>
    <w:rsid w:val="008C13E9"/>
    <w:rsid w:val="008D1019"/>
    <w:rsid w:val="00923711"/>
    <w:rsid w:val="00925C9E"/>
    <w:rsid w:val="00927284"/>
    <w:rsid w:val="00943D45"/>
    <w:rsid w:val="0097213C"/>
    <w:rsid w:val="009A098F"/>
    <w:rsid w:val="009B6B60"/>
    <w:rsid w:val="009B775B"/>
    <w:rsid w:val="00A125B1"/>
    <w:rsid w:val="00A30EB2"/>
    <w:rsid w:val="00A77513"/>
    <w:rsid w:val="00A85053"/>
    <w:rsid w:val="00AA4277"/>
    <w:rsid w:val="00AB4908"/>
    <w:rsid w:val="00AC2CA9"/>
    <w:rsid w:val="00AC5639"/>
    <w:rsid w:val="00AD119C"/>
    <w:rsid w:val="00B13049"/>
    <w:rsid w:val="00B136EC"/>
    <w:rsid w:val="00B44406"/>
    <w:rsid w:val="00BB3E25"/>
    <w:rsid w:val="00BC2253"/>
    <w:rsid w:val="00BC250A"/>
    <w:rsid w:val="00BF0686"/>
    <w:rsid w:val="00BF2C4E"/>
    <w:rsid w:val="00C26508"/>
    <w:rsid w:val="00C372E4"/>
    <w:rsid w:val="00C86A7C"/>
    <w:rsid w:val="00CC3C00"/>
    <w:rsid w:val="00CD10D1"/>
    <w:rsid w:val="00CE40EE"/>
    <w:rsid w:val="00D044BA"/>
    <w:rsid w:val="00D62117"/>
    <w:rsid w:val="00D875E8"/>
    <w:rsid w:val="00DE69B6"/>
    <w:rsid w:val="00E11072"/>
    <w:rsid w:val="00E24BB6"/>
    <w:rsid w:val="00E3405D"/>
    <w:rsid w:val="00E47D60"/>
    <w:rsid w:val="00E6648E"/>
    <w:rsid w:val="00E80058"/>
    <w:rsid w:val="00EA64B0"/>
    <w:rsid w:val="00EC1089"/>
    <w:rsid w:val="00ED406B"/>
    <w:rsid w:val="00EF7051"/>
    <w:rsid w:val="00F24D11"/>
    <w:rsid w:val="00F411F9"/>
    <w:rsid w:val="00F42382"/>
    <w:rsid w:val="00F46148"/>
    <w:rsid w:val="00F50360"/>
    <w:rsid w:val="00F52B8B"/>
    <w:rsid w:val="00F54DD3"/>
    <w:rsid w:val="00F67464"/>
    <w:rsid w:val="00F67F56"/>
    <w:rsid w:val="00F717C9"/>
    <w:rsid w:val="00F828DF"/>
    <w:rsid w:val="00F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5FE26"/>
  <w15:docId w15:val="{996DF52B-5E35-4E4D-BAFF-5C32C812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DBC"/>
  </w:style>
  <w:style w:type="paragraph" w:styleId="Footer">
    <w:name w:val="footer"/>
    <w:basedOn w:val="Normal"/>
    <w:link w:val="Foot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DBC"/>
  </w:style>
  <w:style w:type="paragraph" w:styleId="ListParagraph">
    <w:name w:val="List Paragraph"/>
    <w:basedOn w:val="Normal"/>
    <w:uiPriority w:val="34"/>
    <w:qFormat/>
    <w:rsid w:val="00450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0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3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3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6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1641B38CCD7245BB6647F6E1D29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452F-006C-FF46-9EAD-F3E4D707AF0F}"/>
      </w:docPartPr>
      <w:docPartBody>
        <w:p w:rsidR="004D1024" w:rsidRDefault="004548B3" w:rsidP="004548B3">
          <w:pPr>
            <w:pStyle w:val="381641B38CCD7245BB6647F6E1D298B0"/>
          </w:pPr>
          <w:r>
            <w:t>[Type the document title]</w:t>
          </w:r>
        </w:p>
      </w:docPartBody>
    </w:docPart>
    <w:docPart>
      <w:docPartPr>
        <w:name w:val="B8386E440229AA409733DBC75ABB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97E3-BC83-1C41-8EC2-4AAFB3586BEB}"/>
      </w:docPartPr>
      <w:docPartBody>
        <w:p w:rsidR="004D1024" w:rsidRDefault="004548B3" w:rsidP="004548B3">
          <w:pPr>
            <w:pStyle w:val="B8386E440229AA409733DBC75ABB6F8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8B3"/>
    <w:rsid w:val="00002820"/>
    <w:rsid w:val="00005DB9"/>
    <w:rsid w:val="002879EB"/>
    <w:rsid w:val="002A28D0"/>
    <w:rsid w:val="004548B3"/>
    <w:rsid w:val="00460401"/>
    <w:rsid w:val="004D1024"/>
    <w:rsid w:val="004D63A3"/>
    <w:rsid w:val="005702BF"/>
    <w:rsid w:val="008E5E4B"/>
    <w:rsid w:val="00A87A18"/>
    <w:rsid w:val="00C405AF"/>
    <w:rsid w:val="00C56A10"/>
    <w:rsid w:val="00DD02A8"/>
    <w:rsid w:val="00E03550"/>
    <w:rsid w:val="00E839AF"/>
    <w:rsid w:val="00F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641B38CCD7245BB6647F6E1D298B0">
    <w:name w:val="381641B38CCD7245BB6647F6E1D298B0"/>
    <w:rsid w:val="004548B3"/>
  </w:style>
  <w:style w:type="paragraph" w:customStyle="1" w:styleId="B8386E440229AA409733DBC75ABB6F8D">
    <w:name w:val="B8386E440229AA409733DBC75ABB6F8D"/>
    <w:rsid w:val="004548B3"/>
  </w:style>
  <w:style w:type="paragraph" w:customStyle="1" w:styleId="46C1B0D6FCF46B4099D86C7AAFE59CA9">
    <w:name w:val="46C1B0D6FCF46B4099D86C7AAFE59CA9"/>
    <w:rsid w:val="004548B3"/>
  </w:style>
  <w:style w:type="paragraph" w:customStyle="1" w:styleId="4232638E9A843549B931F53D3DE542CA">
    <w:name w:val="4232638E9A843549B931F53D3DE542CA"/>
    <w:rsid w:val="00454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3D2E3DF54CE42A6FABB91C8A94FC4" ma:contentTypeVersion="1" ma:contentTypeDescription="Create a new document." ma:contentTypeScope="" ma:versionID="ec9f057a98cefa1858dc50ddf44bde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D142F-FE86-4F4F-BFEF-0AD486738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06592-4ECE-4549-A996-E604991396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246F66-F5E1-4995-B9F3-1E8FAEBA14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78812F-5082-4DFE-9551-575380F9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 Action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Short</dc:creator>
  <cp:keywords/>
  <dc:description/>
  <cp:lastModifiedBy>张 钰琛</cp:lastModifiedBy>
  <cp:revision>2</cp:revision>
  <cp:lastPrinted>2017-07-28T00:44:00Z</cp:lastPrinted>
  <dcterms:created xsi:type="dcterms:W3CDTF">2020-08-07T12:43:00Z</dcterms:created>
  <dcterms:modified xsi:type="dcterms:W3CDTF">2020-08-07T12:43:00Z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0x0101005793D2E3DF54CE42A6FABB91C8A94FC4</vt:lpwstr>
  </property>
  <property fmtid="{D5CDD505-2E9C-101B-9397-08002B2CF9AE}" pid="3" name="Objective-Id">
    <vt:lpwstr>A20531692</vt:lpwstr>
  </property>
  <property fmtid="{D5CDD505-2E9C-101B-9397-08002B2CF9AE}" pid="4" name="Objective-Title">
    <vt:lpwstr>Lean Canvas - TEMPLATE</vt:lpwstr>
  </property>
  <property fmtid="{D5CDD505-2E9C-101B-9397-08002B2CF9AE}" pid="5" name="Objective-Comment">
    <vt:lpwstr/>
  </property>
  <property fmtid="{D5CDD505-2E9C-101B-9397-08002B2CF9AE}" pid="6" name="Objective-CreationStamp">
    <vt:filetime>2019-07-08T03:45:21Z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2019-07-08T03:45:21Z</vt:filetime>
  </property>
  <property fmtid="{D5CDD505-2E9C-101B-9397-08002B2CF9AE}" pid="10" name="Objective-ModificationStamp">
    <vt:filetime>2019-07-08T03:45:22Z</vt:filetime>
  </property>
  <property fmtid="{D5CDD505-2E9C-101B-9397-08002B2CF9AE}" pid="11" name="Objective-Owner">
    <vt:lpwstr>Nathan Urban</vt:lpwstr>
  </property>
  <property fmtid="{D5CDD505-2E9C-101B-9397-08002B2CF9AE}" pid="12" name="Objective-Path">
    <vt:lpwstr>Whole of ACT Government:TCCS STRUCTURE - Content Restriction Hierarchy:DIVISION: Chief Operating Officer:BRANCH: Innovation and Customer Experience:SECTION: Innovation Data and Analytics:7. Documentation:3. Templates:Project Templates:Lean Canvas:</vt:lpwstr>
  </property>
  <property fmtid="{D5CDD505-2E9C-101B-9397-08002B2CF9AE}" pid="13" name="Objective-Parent">
    <vt:lpwstr>Lean Canvas</vt:lpwstr>
  </property>
  <property fmtid="{D5CDD505-2E9C-101B-9397-08002B2CF9AE}" pid="14" name="Objective-State">
    <vt:lpwstr>Published</vt:lpwstr>
  </property>
  <property fmtid="{D5CDD505-2E9C-101B-9397-08002B2CF9AE}" pid="15" name="Objective-Version">
    <vt:lpwstr>1.0</vt:lpwstr>
  </property>
  <property fmtid="{D5CDD505-2E9C-101B-9397-08002B2CF9AE}" pid="16" name="Objective-VersionNumber">
    <vt:r8>1</vt:r8>
  </property>
  <property fmtid="{D5CDD505-2E9C-101B-9397-08002B2CF9AE}" pid="17" name="Objective-VersionComment">
    <vt:lpwstr>First version</vt:lpwstr>
  </property>
  <property fmtid="{D5CDD505-2E9C-101B-9397-08002B2CF9AE}" pid="18" name="Objective-FileNumber">
    <vt:lpwstr/>
  </property>
  <property fmtid="{D5CDD505-2E9C-101B-9397-08002B2CF9AE}" pid="19" name="Objective-Classification">
    <vt:lpwstr>[Inherited - none]</vt:lpwstr>
  </property>
  <property fmtid="{D5CDD505-2E9C-101B-9397-08002B2CF9AE}" pid="20" name="Objective-Caveats">
    <vt:lpwstr/>
  </property>
  <property fmtid="{D5CDD505-2E9C-101B-9397-08002B2CF9AE}" pid="21" name="Objective-Owner Agency [system]">
    <vt:lpwstr>TAMSD</vt:lpwstr>
  </property>
  <property fmtid="{D5CDD505-2E9C-101B-9397-08002B2CF9AE}" pid="22" name="Objective-Document Type [system]">
    <vt:lpwstr>0-Document</vt:lpwstr>
  </property>
  <property fmtid="{D5CDD505-2E9C-101B-9397-08002B2CF9AE}" pid="23" name="Objective-Language [system]">
    <vt:lpwstr>English (en)</vt:lpwstr>
  </property>
  <property fmtid="{D5CDD505-2E9C-101B-9397-08002B2CF9AE}" pid="24" name="Objective-Jurisdiction [system]">
    <vt:lpwstr>ACT</vt:lpwstr>
  </property>
  <property fmtid="{D5CDD505-2E9C-101B-9397-08002B2CF9AE}" pid="25" name="Objective-Customers [system]">
    <vt:lpwstr/>
  </property>
  <property fmtid="{D5CDD505-2E9C-101B-9397-08002B2CF9AE}" pid="26" name="Objective-Places [system]">
    <vt:lpwstr/>
  </property>
  <property fmtid="{D5CDD505-2E9C-101B-9397-08002B2CF9AE}" pid="27" name="Objective-Transaction Reference [system]">
    <vt:lpwstr/>
  </property>
  <property fmtid="{D5CDD505-2E9C-101B-9397-08002B2CF9AE}" pid="28" name="Objective-Document Created By [system]">
    <vt:lpwstr/>
  </property>
  <property fmtid="{D5CDD505-2E9C-101B-9397-08002B2CF9AE}" pid="29" name="Objective-Document Created On [system]">
    <vt:lpwstr/>
  </property>
  <property fmtid="{D5CDD505-2E9C-101B-9397-08002B2CF9AE}" pid="30" name="Objective-Covers Period From [system]">
    <vt:lpwstr/>
  </property>
  <property fmtid="{D5CDD505-2E9C-101B-9397-08002B2CF9AE}" pid="31" name="Objective-Covers Period To [system]">
    <vt:lpwstr/>
  </property>
</Properties>
</file>