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240" w:after="6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0/1 </w:t>
      </w:r>
      <w:r>
        <w:rPr>
          <w:rFonts w:ascii="新細明體" w:hAnsi="新細明體" w:cs="新細明體" w:eastAsia="新細明體"/>
          <w:b/>
          <w:color w:val="auto"/>
          <w:spacing w:val="0"/>
          <w:position w:val="0"/>
          <w:sz w:val="32"/>
          <w:shd w:fill="auto" w:val="clear"/>
        </w:rPr>
        <w:t xml:space="preserve">背包問題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背包問題的不可分割版，請至共用文件區下載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26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號上課影片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並參考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Alg-DP(2).pptx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的第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63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頁至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76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頁，實做一個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0/1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背包問題演算法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第一行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測資組數Ｎ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接著有Ｎ組測資，每組三行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每組的第一行為背包的最大負重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每組的第二行為物品的重量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每組的第三行為物品的價值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每組皆只有五個物品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請輸出Ｎ行，可拿取的最大物品總價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Sample input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3 1 4 2 5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7 10 9 4 8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7 4 8 7 12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3 2 1 4 7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12 7 32 5 21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8 5 19 8 14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Sample output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