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C9A27C"/>
          <w:sz w:val="16"/>
          <w:szCs w:val="16"/>
        </w:rPr>
        <w:t xml:space="preserve">WORKING DRAFT  ·  SDLC PACK</w:t>
      </w:r>
    </w:p>
    <w:p>
      <w:pPr>
        <w:spacing w:after="60"/>
      </w:pPr>
      <w:r>
        <w:rPr>
          <w:rFonts w:ascii="Arial" w:cs="Arial" w:eastAsia="Arial" w:hAnsi="Arial"/>
          <w:b/>
          <w:bCs/>
          <w:i w:val="false"/>
          <w:iCs w:val="false"/>
          <w:color w:val="1C1917"/>
          <w:sz w:val="40"/>
          <w:szCs w:val="40"/>
        </w:rPr>
        <w:t xml:space="preserve">Vision and Product Charter</w:t>
      </w:r>
    </w:p>
    <w:p>
      <w:pPr>
        <w:spacing w:after="200" w:before="0" w:line="276"/>
      </w:pPr>
      <w:r>
        <w:rPr>
          <w:rFonts w:ascii="Arial" w:cs="Arial" w:eastAsia="Arial" w:hAnsi="Arial"/>
          <w:b w:val="false"/>
          <w:bCs w:val="false"/>
          <w:i w:val="false"/>
          <w:iCs w:val="false"/>
          <w:color w:val="5C534A"/>
          <w:sz w:val="20"/>
          <w:szCs w:val="20"/>
        </w:rPr>
        <w:t xml:space="preserve">The job of Personal Bleep, who it is for, and what success is not.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c>
          <w:tcPr>
            <w:tcW w:type="dxa" w:w="2600"/>
            <w:tcBorders>
              <w:top w:val="single" w:color="D4C4B0" w:sz="4"/>
              <w:left w:val="single" w:color="D4C4B0" w:sz="4"/>
              <w:bottom w:val="single" w:color="D4C4B0" w:sz="4"/>
              <w:right w:val="single" w:color="D4C4B0" w:sz="4"/>
            </w:tcBorders>
            <w:shd w:fill="1C1917" w:val="clear"/>
            <w:tcMar>
              <w:top w:type="dxa" w:w="60"/>
              <w:left w:type="dxa" w:w="80"/>
              <w:bottom w:type="dxa" w:w="60"/>
              <w:right w:type="dxa" w:w="80"/>
            </w:tcMar>
            <w:vAlign w:val="top"/>
          </w:tcPr>
          <w:p>
            <w:pPr>
              <w:spacing w:after="0"/>
            </w:pPr>
            <w:r>
              <w:rPr>
                <w:rFonts w:ascii="Arial" w:cs="Arial" w:eastAsia="Arial" w:hAnsi="Arial"/>
                <w:b/>
                <w:bCs/>
                <w:i w:val="false"/>
                <w:iCs w:val="false"/>
                <w:color w:val="FFFFFF"/>
                <w:sz w:val="18"/>
                <w:szCs w:val="18"/>
              </w:rPr>
              <w:t xml:space="preserve">Document ID</w:t>
            </w:r>
          </w:p>
        </w:tc>
        <w:tc>
          <w:tcPr>
            <w:tcW w:type="dxa" w:w="7866"/>
            <w:tcBorders>
              <w:top w:val="single" w:color="D4C4B0" w:sz="4"/>
              <w:left w:val="single" w:color="D4C4B0" w:sz="4"/>
              <w:bottom w:val="single" w:color="D4C4B0" w:sz="4"/>
              <w:right w:val="single" w:color="D4C4B0" w:sz="4"/>
            </w:tcBorders>
            <w:shd w:fill="F7F1EA"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8"/>
                <w:szCs w:val="18"/>
              </w:rPr>
              <w:t xml:space="preserve">BLEEP-SDLC-001</w:t>
            </w:r>
          </w:p>
        </w:tc>
      </w:tr>
      <w:tr>
        <w:tc>
          <w:tcPr>
            <w:tcW w:type="dxa" w:w="2600"/>
            <w:tcBorders>
              <w:top w:val="single" w:color="D4C4B0" w:sz="4"/>
              <w:left w:val="single" w:color="D4C4B0" w:sz="4"/>
              <w:bottom w:val="single" w:color="D4C4B0" w:sz="4"/>
              <w:right w:val="single" w:color="D4C4B0" w:sz="4"/>
            </w:tcBorders>
            <w:shd w:fill="EFE6DA" w:val="clear"/>
            <w:tcMar>
              <w:top w:type="dxa" w:w="60"/>
              <w:left w:type="dxa" w:w="80"/>
              <w:bottom w:type="dxa" w:w="60"/>
              <w:right w:type="dxa" w:w="80"/>
            </w:tcMar>
            <w:vAlign w:val="top"/>
          </w:tcPr>
          <w:p>
            <w:pPr>
              <w:spacing w:after="0"/>
            </w:pPr>
            <w:r>
              <w:rPr>
                <w:rFonts w:ascii="Arial" w:cs="Arial" w:eastAsia="Arial" w:hAnsi="Arial"/>
                <w:b/>
                <w:bCs/>
                <w:i w:val="false"/>
                <w:iCs w:val="false"/>
                <w:color w:val="1C1917"/>
                <w:sz w:val="18"/>
                <w:szCs w:val="18"/>
              </w:rPr>
              <w:t xml:space="preserve">Suite</w:t>
            </w:r>
          </w:p>
        </w:tc>
        <w:tc>
          <w:tcPr>
            <w:tcW w:type="dxa" w:w="7866"/>
            <w:tcBorders>
              <w:top w:val="single" w:color="D4C4B0" w:sz="4"/>
              <w:left w:val="single" w:color="D4C4B0" w:sz="4"/>
              <w:bottom w:val="single" w:color="D4C4B0" w:sz="4"/>
              <w:right w:val="single" w:color="D4C4B0" w:sz="4"/>
            </w:tcBorders>
            <w:shd w:fill="FFFCF7"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8"/>
                <w:szCs w:val="18"/>
              </w:rPr>
              <w:t xml:space="preserve">Bleep SDLC pack  ·  Personal Bleep v1</w:t>
            </w:r>
          </w:p>
        </w:tc>
      </w:tr>
      <w:tr>
        <w:tc>
          <w:tcPr>
            <w:tcW w:type="dxa" w:w="2600"/>
            <w:tcBorders>
              <w:top w:val="single" w:color="D4C4B0" w:sz="4"/>
              <w:left w:val="single" w:color="D4C4B0" w:sz="4"/>
              <w:bottom w:val="single" w:color="D4C4B0" w:sz="4"/>
              <w:right w:val="single" w:color="D4C4B0" w:sz="4"/>
            </w:tcBorders>
            <w:shd w:fill="EFE6DA" w:val="clear"/>
            <w:tcMar>
              <w:top w:type="dxa" w:w="60"/>
              <w:left w:type="dxa" w:w="80"/>
              <w:bottom w:type="dxa" w:w="60"/>
              <w:right w:type="dxa" w:w="80"/>
            </w:tcMar>
            <w:vAlign w:val="top"/>
          </w:tcPr>
          <w:p>
            <w:pPr>
              <w:spacing w:after="0"/>
            </w:pPr>
            <w:r>
              <w:rPr>
                <w:rFonts w:ascii="Arial" w:cs="Arial" w:eastAsia="Arial" w:hAnsi="Arial"/>
                <w:b/>
                <w:bCs/>
                <w:i w:val="false"/>
                <w:iCs w:val="false"/>
                <w:color w:val="1C1917"/>
                <w:sz w:val="18"/>
                <w:szCs w:val="18"/>
              </w:rPr>
              <w:t xml:space="preserve">Version</w:t>
            </w:r>
          </w:p>
        </w:tc>
        <w:tc>
          <w:tcPr>
            <w:tcW w:type="dxa" w:w="7866"/>
            <w:tcBorders>
              <w:top w:val="single" w:color="D4C4B0" w:sz="4"/>
              <w:left w:val="single" w:color="D4C4B0" w:sz="4"/>
              <w:bottom w:val="single" w:color="D4C4B0" w:sz="4"/>
              <w:right w:val="single" w:color="D4C4B0" w:sz="4"/>
            </w:tcBorders>
            <w:shd w:fill="FFFCF7"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8"/>
                <w:szCs w:val="18"/>
              </w:rPr>
              <w:t xml:space="preserve">0.1 — ideation / pre-implementation</w:t>
            </w:r>
          </w:p>
        </w:tc>
      </w:tr>
      <w:tr>
        <w:tc>
          <w:tcPr>
            <w:tcW w:type="dxa" w:w="2600"/>
            <w:tcBorders>
              <w:top w:val="single" w:color="D4C4B0" w:sz="4"/>
              <w:left w:val="single" w:color="D4C4B0" w:sz="4"/>
              <w:bottom w:val="single" w:color="D4C4B0" w:sz="4"/>
              <w:right w:val="single" w:color="D4C4B0" w:sz="4"/>
            </w:tcBorders>
            <w:shd w:fill="EFE6DA" w:val="clear"/>
            <w:tcMar>
              <w:top w:type="dxa" w:w="60"/>
              <w:left w:type="dxa" w:w="80"/>
              <w:bottom w:type="dxa" w:w="60"/>
              <w:right w:type="dxa" w:w="80"/>
            </w:tcMar>
            <w:vAlign w:val="top"/>
          </w:tcPr>
          <w:p>
            <w:pPr>
              <w:spacing w:after="0"/>
            </w:pPr>
            <w:r>
              <w:rPr>
                <w:rFonts w:ascii="Arial" w:cs="Arial" w:eastAsia="Arial" w:hAnsi="Arial"/>
                <w:b/>
                <w:bCs/>
                <w:i w:val="false"/>
                <w:iCs w:val="false"/>
                <w:color w:val="1C1917"/>
                <w:sz w:val="18"/>
                <w:szCs w:val="18"/>
              </w:rPr>
              <w:t xml:space="preserve">Date</w:t>
            </w:r>
          </w:p>
        </w:tc>
        <w:tc>
          <w:tcPr>
            <w:tcW w:type="dxa" w:w="7866"/>
            <w:tcBorders>
              <w:top w:val="single" w:color="D4C4B0" w:sz="4"/>
              <w:left w:val="single" w:color="D4C4B0" w:sz="4"/>
              <w:bottom w:val="single" w:color="D4C4B0" w:sz="4"/>
              <w:right w:val="single" w:color="D4C4B0" w:sz="4"/>
            </w:tcBorders>
            <w:shd w:fill="FFFCF7"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8"/>
                <w:szCs w:val="18"/>
              </w:rPr>
              <w:t xml:space="preserve">31 August 2026</w:t>
            </w:r>
          </w:p>
        </w:tc>
      </w:tr>
      <w:tr>
        <w:tc>
          <w:tcPr>
            <w:tcW w:type="dxa" w:w="2600"/>
            <w:tcBorders>
              <w:top w:val="single" w:color="D4C4B0" w:sz="4"/>
              <w:left w:val="single" w:color="D4C4B0" w:sz="4"/>
              <w:bottom w:val="single" w:color="D4C4B0" w:sz="4"/>
              <w:right w:val="single" w:color="D4C4B0" w:sz="4"/>
            </w:tcBorders>
            <w:shd w:fill="EFE6DA" w:val="clear"/>
            <w:tcMar>
              <w:top w:type="dxa" w:w="60"/>
              <w:left w:type="dxa" w:w="80"/>
              <w:bottom w:type="dxa" w:w="60"/>
              <w:right w:type="dxa" w:w="80"/>
            </w:tcMar>
            <w:vAlign w:val="top"/>
          </w:tcPr>
          <w:p>
            <w:pPr>
              <w:spacing w:after="0"/>
            </w:pPr>
            <w:r>
              <w:rPr>
                <w:rFonts w:ascii="Arial" w:cs="Arial" w:eastAsia="Arial" w:hAnsi="Arial"/>
                <w:b/>
                <w:bCs/>
                <w:i w:val="false"/>
                <w:iCs w:val="false"/>
                <w:color w:val="1C1917"/>
                <w:sz w:val="18"/>
                <w:szCs w:val="18"/>
              </w:rPr>
              <w:t xml:space="preserve">Status</w:t>
            </w:r>
          </w:p>
        </w:tc>
        <w:tc>
          <w:tcPr>
            <w:tcW w:type="dxa" w:w="7866"/>
            <w:tcBorders>
              <w:top w:val="single" w:color="D4C4B0" w:sz="4"/>
              <w:left w:val="single" w:color="D4C4B0" w:sz="4"/>
              <w:bottom w:val="single" w:color="D4C4B0" w:sz="4"/>
              <w:right w:val="single" w:color="D4C4B0" w:sz="4"/>
            </w:tcBorders>
            <w:shd w:fill="FFFCF7"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8"/>
                <w:szCs w:val="18"/>
              </w:rPr>
              <w:t xml:space="preserve">Working draft. Not an audit. Not a guarantee.</w:t>
            </w:r>
          </w:p>
        </w:tc>
      </w:tr>
      <w:tr>
        <w:tc>
          <w:tcPr>
            <w:tcW w:type="dxa" w:w="2600"/>
            <w:tcBorders>
              <w:top w:val="single" w:color="D4C4B0" w:sz="4"/>
              <w:left w:val="single" w:color="D4C4B0" w:sz="4"/>
              <w:bottom w:val="single" w:color="D4C4B0" w:sz="4"/>
              <w:right w:val="single" w:color="D4C4B0" w:sz="4"/>
            </w:tcBorders>
            <w:shd w:fill="EFE6DA" w:val="clear"/>
            <w:tcMar>
              <w:top w:type="dxa" w:w="60"/>
              <w:left w:type="dxa" w:w="80"/>
              <w:bottom w:type="dxa" w:w="60"/>
              <w:right w:type="dxa" w:w="80"/>
            </w:tcMar>
            <w:vAlign w:val="top"/>
          </w:tcPr>
          <w:p>
            <w:pPr>
              <w:spacing w:after="0"/>
            </w:pPr>
            <w:r>
              <w:rPr>
                <w:rFonts w:ascii="Arial" w:cs="Arial" w:eastAsia="Arial" w:hAnsi="Arial"/>
                <w:b/>
                <w:bCs/>
                <w:i w:val="false"/>
                <w:iCs w:val="false"/>
                <w:color w:val="1C1917"/>
                <w:sz w:val="18"/>
                <w:szCs w:val="18"/>
              </w:rPr>
              <w:t xml:space="preserve">Parents</w:t>
            </w:r>
          </w:p>
        </w:tc>
        <w:tc>
          <w:tcPr>
            <w:tcW w:type="dxa" w:w="7866"/>
            <w:tcBorders>
              <w:top w:val="single" w:color="D4C4B0" w:sz="4"/>
              <w:left w:val="single" w:color="D4C4B0" w:sz="4"/>
              <w:bottom w:val="single" w:color="D4C4B0" w:sz="4"/>
              <w:right w:val="single" w:color="D4C4B0" w:sz="4"/>
            </w:tcBorders>
            <w:shd w:fill="FFFCF7"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8"/>
                <w:szCs w:val="18"/>
              </w:rPr>
              <w:t xml:space="preserve">BLEEP-TM-001 v0.1  ·  BLEEP-FC-001 v0.3</w:t>
            </w:r>
          </w:p>
        </w:tc>
      </w:tr>
      <w:tr>
        <w:tc>
          <w:tcPr>
            <w:tcW w:type="dxa" w:w="2600"/>
            <w:tcBorders>
              <w:top w:val="single" w:color="D4C4B0" w:sz="4"/>
              <w:left w:val="single" w:color="D4C4B0" w:sz="4"/>
              <w:bottom w:val="single" w:color="D4C4B0" w:sz="4"/>
              <w:right w:val="single" w:color="D4C4B0" w:sz="4"/>
            </w:tcBorders>
            <w:shd w:fill="EFE6DA" w:val="clear"/>
            <w:tcMar>
              <w:top w:type="dxa" w:w="60"/>
              <w:left w:type="dxa" w:w="80"/>
              <w:bottom w:type="dxa" w:w="60"/>
              <w:right w:type="dxa" w:w="80"/>
            </w:tcMar>
            <w:vAlign w:val="top"/>
          </w:tcPr>
          <w:p>
            <w:pPr>
              <w:spacing w:after="0"/>
            </w:pPr>
            <w:r>
              <w:rPr>
                <w:rFonts w:ascii="Arial" w:cs="Arial" w:eastAsia="Arial" w:hAnsi="Arial"/>
                <w:b/>
                <w:bCs/>
                <w:i w:val="false"/>
                <w:iCs w:val="false"/>
                <w:color w:val="1C1917"/>
                <w:sz w:val="18"/>
                <w:szCs w:val="18"/>
              </w:rPr>
              <w:t xml:space="preserve">Classification</w:t>
            </w:r>
          </w:p>
        </w:tc>
        <w:tc>
          <w:tcPr>
            <w:tcW w:type="dxa" w:w="7866"/>
            <w:tcBorders>
              <w:top w:val="single" w:color="D4C4B0" w:sz="4"/>
              <w:left w:val="single" w:color="D4C4B0" w:sz="4"/>
              <w:bottom w:val="single" w:color="D4C4B0" w:sz="4"/>
              <w:right w:val="single" w:color="D4C4B0" w:sz="4"/>
            </w:tcBorders>
            <w:shd w:fill="FFFCF7"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8"/>
                <w:szCs w:val="18"/>
              </w:rPr>
              <w:t xml:space="preserve">Internal product design. Share only with builders and counsel.</w:t>
            </w:r>
          </w:p>
        </w:tc>
      </w:tr>
    </w:tbl>
    <w:p>
      <w:pPr>
        <w:pStyle w:val="Heading1"/>
        <w:pBdr>
          <w:bottom w:val="single" w:color="C9A27C" w:sz="12" w:space="4"/>
        </w:pBdr>
        <w:spacing w:after="120" w:before="280"/>
      </w:pPr>
      <w:r>
        <w:rPr>
          <w:rFonts w:ascii="Arial" w:cs="Arial" w:eastAsia="Arial" w:hAnsi="Arial"/>
          <w:b/>
          <w:bCs/>
          <w:color w:val="1C1917"/>
          <w:sz w:val="28"/>
          <w:szCs w:val="28"/>
        </w:rPr>
        <w:t xml:space="preserve">1. Job</w:t>
      </w:r>
    </w:p>
    <w:p>
      <w:pPr>
        <w:spacing w:after="120" w:before="0" w:line="276"/>
      </w:pPr>
      <w:r>
        <w:rPr>
          <w:rFonts w:ascii="Arial" w:cs="Arial" w:eastAsia="Arial" w:hAnsi="Arial"/>
          <w:b w:val="false"/>
          <w:bCs w:val="false"/>
          <w:i w:val="false"/>
          <w:iCs w:val="false"/>
          <w:color w:val="1C1917"/>
          <w:sz w:val="20"/>
          <w:szCs w:val="20"/>
        </w:rPr>
        <w:t xml:space="preserve">Bleep is an instant messenger whose job is to keep conversation content unreadable to anyone but the participants, keep the social graph from forming on infrastructure we operate, and let the user choose where sealed packets live. Encryption is necessary. It is not sufficient.</w:t>
      </w:r>
    </w:p>
    <w:p>
      <w:pPr>
        <w:spacing w:after="120" w:before="0" w:line="276"/>
      </w:pPr>
      <w:r>
        <w:rPr>
          <w:rFonts w:ascii="Arial" w:cs="Arial" w:eastAsia="Arial" w:hAnsi="Arial"/>
          <w:b w:val="false"/>
          <w:bCs w:val="false"/>
          <w:i w:val="false"/>
          <w:iCs w:val="false"/>
          <w:color w:val="1C1917"/>
          <w:sz w:val="20"/>
          <w:szCs w:val="20"/>
        </w:rPr>
        <w:t xml:space="preserve">One-line posture. A compelled operator, a seized relay, or a curious cloud admin should produce almost nothing useful: not plaintext, not a reliable who-talked-to-whom map, and not a long-lived archive.</w:t>
      </w:r>
    </w:p>
    <w:p>
      <w:pPr>
        <w:pStyle w:val="Heading1"/>
        <w:pBdr>
          <w:bottom w:val="single" w:color="C9A27C" w:sz="12" w:space="4"/>
        </w:pBdr>
        <w:spacing w:after="120" w:before="280"/>
      </w:pPr>
      <w:r>
        <w:rPr>
          <w:rFonts w:ascii="Arial" w:cs="Arial" w:eastAsia="Arial" w:hAnsi="Arial"/>
          <w:b/>
          <w:bCs/>
          <w:color w:val="1C1917"/>
          <w:sz w:val="28"/>
          <w:szCs w:val="28"/>
        </w:rPr>
        <w:t xml:space="preserve">2. Who it is for</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A person on mid-range Android in South Africa and the wider continent who already lives in WhatsApp and will not stay in an app that cannot send a voice note.</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Someone who does not want a phone number as their root identity.</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A pair or small group that needs a harder box than the family inbox — Chamber.</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A person who overlooks an ID PDF on Send — Guardian, on the device.</w:t>
      </w:r>
    </w:p>
    <w:p>
      <w:pPr>
        <w:spacing w:after="120" w:before="0" w:line="276"/>
      </w:pPr>
      <w:r>
        <w:rPr>
          <w:rFonts w:ascii="Arial" w:cs="Arial" w:eastAsia="Arial" w:hAnsi="Arial"/>
          <w:b w:val="false"/>
          <w:bCs w:val="false"/>
          <w:i w:val="false"/>
          <w:iCs w:val="false"/>
          <w:color w:val="1C1917"/>
          <w:sz w:val="20"/>
          <w:szCs w:val="20"/>
        </w:rPr>
        <w:t xml:space="preserve">It is not for an employer’s DLP console, a public channel network, or a browser-extension crowd in v1.</w:t>
      </w:r>
    </w:p>
    <w:p>
      <w:pPr>
        <w:pStyle w:val="Heading1"/>
        <w:pBdr>
          <w:bottom w:val="single" w:color="C9A27C" w:sz="12" w:space="4"/>
        </w:pBdr>
        <w:spacing w:after="120" w:before="280"/>
      </w:pPr>
      <w:r>
        <w:rPr>
          <w:rFonts w:ascii="Arial" w:cs="Arial" w:eastAsia="Arial" w:hAnsi="Arial"/>
          <w:b/>
          <w:bCs/>
          <w:color w:val="1C1917"/>
          <w:sz w:val="28"/>
          <w:szCs w:val="28"/>
        </w:rPr>
        <w:t xml:space="preserve">3. Product principles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7266"/>
      </w:tblGrid>
      <w:tr>
        <w:trPr>
          <w:tblHeader/>
        </w:trPr>
        <w:tc>
          <w:tcPr>
            <w:tcW w:type="dxa" w:w="3200"/>
            <w:tcBorders>
              <w:top w:val="single" w:color="D4C4B0" w:sz="4"/>
              <w:left w:val="single" w:color="D4C4B0" w:sz="4"/>
              <w:bottom w:val="single" w:color="D4C4B0" w:sz="4"/>
              <w:right w:val="single" w:color="D4C4B0" w:sz="4"/>
            </w:tcBorders>
            <w:shd w:fill="1C1917" w:val="clear"/>
            <w:tcMar>
              <w:top w:type="dxa" w:w="60"/>
              <w:left w:type="dxa" w:w="80"/>
              <w:bottom w:type="dxa" w:w="60"/>
              <w:right w:type="dxa" w:w="80"/>
            </w:tcMar>
            <w:vAlign w:val="top"/>
          </w:tcPr>
          <w:p>
            <w:pPr>
              <w:spacing w:after="0"/>
            </w:pPr>
            <w:r>
              <w:rPr>
                <w:rFonts w:ascii="Arial" w:cs="Arial" w:eastAsia="Arial" w:hAnsi="Arial"/>
                <w:b/>
                <w:bCs/>
                <w:i w:val="false"/>
                <w:iCs w:val="false"/>
                <w:color w:val="FFFFFF"/>
                <w:sz w:val="15"/>
                <w:szCs w:val="15"/>
              </w:rPr>
              <w:t xml:space="preserve">Principle</w:t>
            </w:r>
          </w:p>
        </w:tc>
        <w:tc>
          <w:tcPr>
            <w:tcW w:type="dxa" w:w="7266"/>
            <w:tcBorders>
              <w:top w:val="single" w:color="D4C4B0" w:sz="4"/>
              <w:left w:val="single" w:color="D4C4B0" w:sz="4"/>
              <w:bottom w:val="single" w:color="D4C4B0" w:sz="4"/>
              <w:right w:val="single" w:color="D4C4B0" w:sz="4"/>
            </w:tcBorders>
            <w:shd w:fill="1C1917" w:val="clear"/>
            <w:tcMar>
              <w:top w:type="dxa" w:w="60"/>
              <w:left w:type="dxa" w:w="80"/>
              <w:bottom w:type="dxa" w:w="60"/>
              <w:right w:type="dxa" w:w="80"/>
            </w:tcMar>
            <w:vAlign w:val="top"/>
          </w:tcPr>
          <w:p>
            <w:pPr>
              <w:spacing w:after="0"/>
            </w:pPr>
            <w:r>
              <w:rPr>
                <w:rFonts w:ascii="Arial" w:cs="Arial" w:eastAsia="Arial" w:hAnsi="Arial"/>
                <w:b/>
                <w:bCs/>
                <w:i w:val="false"/>
                <w:iCs w:val="false"/>
                <w:color w:val="FFFFFF"/>
                <w:sz w:val="15"/>
                <w:szCs w:val="15"/>
              </w:rPr>
              <w:t xml:space="preserve">Consequence</w:t>
            </w:r>
          </w:p>
        </w:tc>
      </w:tr>
      <w:tr>
        <w:tc>
          <w:tcPr>
            <w:tcW w:type="dxa" w:w="3200"/>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Device is the vault</w:t>
            </w:r>
          </w:p>
        </w:tc>
        <w:tc>
          <w:tcPr>
            <w:tcW w:type="dxa" w:w="7266"/>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Keys, history, Guardian, Chamber stores live on the phone.</w:t>
            </w:r>
          </w:p>
        </w:tc>
      </w:tr>
      <w:tr>
        <w:tc>
          <w:tcPr>
            <w:tcW w:type="dxa" w:w="3200"/>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Relay is a mailbox</w:t>
            </w:r>
          </w:p>
        </w:tc>
        <w:tc>
          <w:tcPr>
            <w:tcW w:type="dxa" w:w="7266"/>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Short TTL, sealed envelopes, no search, no graph.</w:t>
            </w:r>
          </w:p>
        </w:tc>
      </w:tr>
      <w:tr>
        <w:tc>
          <w:tcPr>
            <w:tcW w:type="dxa" w:w="3200"/>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Identity is a keypair</w:t>
            </w:r>
          </w:p>
        </w:tc>
        <w:tc>
          <w:tcPr>
            <w:tcW w:type="dxa" w:w="7266"/>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Optional handle. Number is a hint, never the account.</w:t>
            </w:r>
          </w:p>
        </w:tc>
      </w:tr>
      <w:tr>
        <w:tc>
          <w:tcPr>
            <w:tcW w:type="dxa" w:w="3200"/>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Region is visible</w:t>
            </w:r>
          </w:p>
        </w:tc>
        <w:tc>
          <w:tcPr>
            <w:tcW w:type="dxa" w:w="7266"/>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JHB / ZA chip. Fail closed rather than hairpin elsewhere.</w:t>
            </w:r>
          </w:p>
        </w:tc>
      </w:tr>
      <w:tr>
        <w:tc>
          <w:tcPr>
            <w:tcW w:type="dxa" w:w="3200"/>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Honesty over theatre</w:t>
            </w:r>
          </w:p>
        </w:tc>
        <w:tc>
          <w:tcPr>
            <w:tcW w:type="dxa" w:w="7266"/>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No screenshot-proof, military-grade, or above-the-law claims.</w:t>
            </w:r>
          </w:p>
        </w:tc>
      </w:tr>
      <w:tr>
        <w:tc>
          <w:tcPr>
            <w:tcW w:type="dxa" w:w="3200"/>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Same APK</w:t>
            </w:r>
          </w:p>
        </w:tc>
        <w:tc>
          <w:tcPr>
            <w:tcW w:type="dxa" w:w="7266"/>
            <w:tcBorders>
              <w:top w:val="single" w:color="D4C4B0" w:sz="4"/>
              <w:left w:val="single" w:color="D4C4B0" w:sz="4"/>
              <w:bottom w:val="single" w:color="D4C4B0" w:sz="4"/>
              <w:right w:val="single" w:color="D4C4B0" w:sz="4"/>
            </w:tcBorders>
            <w:shd w:fill="FFFFFF" w:val="clear"/>
            <w:tcMar>
              <w:top w:type="dxa" w:w="60"/>
              <w:left w:type="dxa" w:w="80"/>
              <w:bottom w:type="dxa" w:w="60"/>
              <w:right w:type="dxa" w:w="80"/>
            </w:tcMar>
            <w:vAlign w:val="top"/>
          </w:tcPr>
          <w:p>
            <w:pPr>
              <w:spacing w:after="0"/>
            </w:pPr>
            <w:r>
              <w:rPr>
                <w:rFonts w:ascii="Arial" w:cs="Arial" w:eastAsia="Arial" w:hAnsi="Arial"/>
                <w:b w:val="false"/>
                <w:bCs w:val="false"/>
                <w:i w:val="false"/>
                <w:iCs w:val="false"/>
                <w:color w:val="1C1917"/>
                <w:sz w:val="16"/>
                <w:szCs w:val="16"/>
              </w:rPr>
              <w:t xml:space="preserve">Chamber and Guardian are modes, not new products or PWAs.</w:t>
            </w:r>
          </w:p>
        </w:tc>
      </w:tr>
    </w:tbl>
    <w:p>
      <w:pPr>
        <w:pStyle w:val="Heading1"/>
        <w:pBdr>
          <w:bottom w:val="single" w:color="C9A27C" w:sz="12" w:space="4"/>
        </w:pBdr>
        <w:spacing w:after="120" w:before="280"/>
      </w:pPr>
      <w:r>
        <w:rPr>
          <w:rFonts w:ascii="Arial" w:cs="Arial" w:eastAsia="Arial" w:hAnsi="Arial"/>
          <w:b/>
          <w:bCs/>
          <w:color w:val="1C1917"/>
          <w:sz w:val="28"/>
          <w:szCs w:val="28"/>
        </w:rPr>
        <w:t xml:space="preserve">4. Success for v1</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Loop 1 works on ordinary SA mobile data: ID, add by QR, text, photo, voice note, lock, empty push, Guardian checksums.</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Loop 2: small groups, Status, 1:1 calls, Chamber, inbound Guardian.</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A seized staging relay cannot rebuild a useful graph.</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Counsel can answer “what do we hold on user X?” from the live schema in one sitting.</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A user can install from Play or from a hash-verified APK.</w:t>
      </w:r>
    </w:p>
    <w:p>
      <w:pPr>
        <w:pStyle w:val="Heading1"/>
        <w:pBdr>
          <w:bottom w:val="single" w:color="C9A27C" w:sz="12" w:space="4"/>
        </w:pBdr>
        <w:spacing w:after="120" w:before="280"/>
      </w:pPr>
      <w:r>
        <w:rPr>
          <w:rFonts w:ascii="Arial" w:cs="Arial" w:eastAsia="Arial" w:hAnsi="Arial"/>
          <w:b/>
          <w:bCs/>
          <w:color w:val="1C1917"/>
          <w:sz w:val="28"/>
          <w:szCs w:val="28"/>
        </w:rPr>
        <w:t xml:space="preserve">5. Non-goals (charter)</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Becoming a super-app, wallet, or ad graph.</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Replacing the OS against malware (A7 is accepted).</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Making WhatsApp history “secure” by import.</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Deniable / decoy vaults (T15).</w:t>
      </w:r>
    </w:p>
    <w:p>
      <w:pPr>
        <w:pStyle w:val="ListParagraph"/>
        <w:numPr>
          <w:ilvl w:val="0"/>
          <w:numId w:val="2"/>
        </w:numPr>
        <w:spacing w:after="36" w:before="36" w:line="276"/>
      </w:pPr>
      <w:r>
        <w:rPr>
          <w:rFonts w:ascii="Arial" w:cs="Arial" w:eastAsia="Arial" w:hAnsi="Arial"/>
          <w:b w:val="false"/>
          <w:bCs w:val="false"/>
          <w:i w:val="false"/>
          <w:iCs w:val="false"/>
          <w:color w:val="1C1917"/>
          <w:sz w:val="20"/>
          <w:szCs w:val="20"/>
        </w:rPr>
        <w:t xml:space="preserve">Work Bleep, mesh, desktop, MLS large rooms.</w:t>
      </w:r>
    </w:p>
    <w:sectPr>
      <w:headerReference w:type="default" r:id="rId7"/>
      <w:footerReference w:type="default" r:id="rId8"/>
      <w:pgSz w:w="11906" w:h="16838" w:orient="portrait"/>
      <w:pgMar w:top="860" w:right="720" w:bottom="860" w:left="72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7C" w:sz="8" w:space="6"/>
      </w:pBdr>
      <w:tabs>
        <w:tab w:val="right" w:pos="10466"/>
      </w:tabs>
      <w:spacing w:before="80"/>
    </w:pPr>
    <w:r>
      <w:rPr>
        <w:rFonts w:ascii="Arial" w:cs="Arial" w:eastAsia="Arial" w:hAnsi="Arial"/>
        <w:b w:val="false"/>
        <w:bCs w:val="false"/>
        <w:i w:val="false"/>
        <w:iCs w:val="false"/>
        <w:color w:val="5C534A"/>
        <w:sz w:val="14"/>
        <w:szCs w:val="14"/>
      </w:rPr>
      <w:t xml:space="preserve">Internal  ·  Bound to TM-001 + FC-001</w:t>
    </w:r>
    <w:r>
      <w:rPr>
        <w:rFonts w:ascii="Arial" w:cs="Arial" w:eastAsia="Arial" w:hAnsi="Arial"/>
        <w:b w:val="false"/>
        <w:bCs w:val="false"/>
        <w:i w:val="false"/>
        <w:iCs w:val="false"/>
        <w:color w:val="1C1917"/>
        <w:sz w:val="20"/>
        <w:szCs w:val="20"/>
      </w:rPr>
      <w:t xml:space="preserve">	</w:t>
    </w:r>
    <w:r>
      <w:rPr>
        <w:rFonts w:ascii="Arial" w:cs="Arial" w:eastAsia="Arial" w:hAnsi="Arial"/>
        <w:b w:val="false"/>
        <w:bCs w:val="false"/>
        <w:i w:val="false"/>
        <w:iCs w:val="false"/>
        <w:color w:val="5C534A"/>
        <w:sz w:val="14"/>
        <w:szCs w:val="14"/>
      </w:rPr>
      <w:t xml:space="preserve">Page </w:t>
    </w:r>
    <w:r>
      <w:rPr>
        <w:rFonts w:ascii="Arial" w:cs="Arial" w:eastAsia="Arial" w:hAnsi="Arial"/>
        <w:color w:val="5C534A"/>
        <w:sz w:val="14"/>
        <w:szCs w:val="14"/>
      </w:rPr>
      <w:fldChar w:fldCharType="begin"/>
      <w:instrText xml:space="preserve">PAGE</w:instrText>
      <w:fldChar w:fldCharType="separate"/>
      <w:fldChar w:fldCharType="end"/>
    </w:r>
    <w:r>
      <w:rPr>
        <w:rFonts w:ascii="Arial" w:cs="Arial" w:eastAsia="Arial" w:hAnsi="Arial"/>
        <w:b w:val="false"/>
        <w:bCs w:val="false"/>
        <w:i w:val="false"/>
        <w:iCs w:val="false"/>
        <w:color w:val="5C534A"/>
        <w:sz w:val="14"/>
        <w:szCs w:val="14"/>
      </w:rPr>
      <w:t xml:space="preserve"> of </w:t>
    </w:r>
    <w:r>
      <w:rPr>
        <w:rFonts w:ascii="Arial" w:cs="Arial" w:eastAsia="Arial" w:hAnsi="Arial"/>
        <w:color w:val="5C534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7C" w:sz="8" w:space="6"/>
      </w:pBdr>
      <w:tabs>
        <w:tab w:val="right" w:pos="10466"/>
      </w:tabs>
      <w:spacing w:after="80"/>
    </w:pPr>
    <w:r>
      <w:rPr>
        <w:rFonts w:ascii="Arial" w:cs="Arial" w:eastAsia="Arial" w:hAnsi="Arial"/>
        <w:b w:val="false"/>
        <w:bCs w:val="false"/>
        <w:i w:val="false"/>
        <w:iCs w:val="false"/>
        <w:color w:val="5C534A"/>
        <w:sz w:val="15"/>
        <w:szCs w:val="15"/>
      </w:rPr>
      <w:t xml:space="preserve">BLEEP-SDLC-001  ·  Vision and Product Charter</w:t>
    </w:r>
    <w:r>
      <w:rPr>
        <w:rFonts w:ascii="Arial" w:cs="Arial" w:eastAsia="Arial" w:hAnsi="Arial"/>
        <w:b w:val="false"/>
        <w:bCs w:val="false"/>
        <w:i w:val="false"/>
        <w:iCs w:val="false"/>
        <w:color w:val="1C1917"/>
        <w:sz w:val="20"/>
        <w:szCs w:val="20"/>
      </w:rPr>
      <w:t xml:space="preserve">	</w:t>
    </w:r>
    <w:r>
      <w:rPr>
        <w:rFonts w:ascii="Arial" w:cs="Arial" w:eastAsia="Arial" w:hAnsi="Arial"/>
        <w:b w:val="false"/>
        <w:bCs w:val="false"/>
        <w:i w:val="false"/>
        <w:iCs w:val="false"/>
        <w:color w:val="5C534A"/>
        <w:sz w:val="15"/>
        <w:szCs w:val="15"/>
      </w:rPr>
      <w:t xml:space="preserve">Personal Bleep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C1917"/>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C19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and Product Charter</dc:title>
  <dc:creator>Bleep</dc:creator>
  <dc:description>The job of Personal Bleep, who it is for, and what success is not.</dc:description>
  <cp:lastModifiedBy>Un-named</cp:lastModifiedBy>
  <cp:revision>1</cp:revision>
  <dcterms:created xsi:type="dcterms:W3CDTF">2026-08-31T09:43:35.680Z</dcterms:created>
  <dcterms:modified xsi:type="dcterms:W3CDTF">2026-08-31T09:43:35.680Z</dcterms:modified>
</cp:coreProperties>
</file>

<file path=docProps/custom.xml><?xml version="1.0" encoding="utf-8"?>
<Properties xmlns="http://schemas.openxmlformats.org/officeDocument/2006/custom-properties" xmlns:vt="http://schemas.openxmlformats.org/officeDocument/2006/docPropsVTypes"/>
</file>