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C9A27C"/>
          <w:sz w:val="16"/>
          <w:szCs w:val="16"/>
        </w:rPr>
        <w:t xml:space="preserve">WORKING DRAFT  ·  SDLC PACK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C1917"/>
          <w:sz w:val="40"/>
          <w:szCs w:val="40"/>
        </w:rPr>
        <w:t xml:space="preserve">Software Development Plan</w:t>
      </w:r>
    </w:p>
    <w:p>
      <w:pPr>
        <w:spacing w:after="2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534A"/>
          <w:sz w:val="20"/>
          <w:szCs w:val="20"/>
        </w:rPr>
        <w:t xml:space="preserve">How Personal v1 is built: loops, engineering rules, and what “done” means.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BLEEP-SDLC-002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Suite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 SDLC pack  ·  Personal Bleep v1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Version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0.1 — ideation / pre-implementation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Date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31 August 2026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Status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Working draft. Not an audit. Not a guarantee.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Parents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BLEEP-TM-001 v0.1  ·  BLEEP-FC-001 v0.3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Internal product design. Share only with builders and counsel.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1. Delivery model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Build in four loops from FC-001 §14. Do not start Chamber polish before Loop 1 can live as a daily driver. Do not start a Bleep box or desktop client inside this plan.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6066"/>
      </w:tblGrid>
      <w:tr>
        <w:trPr>
          <w:tblHeader/>
        </w:trP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Loop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Outcome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Exit evidence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 Can live here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Sealed 1:1 on Android + Guardian checksums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Two devices exchange text/photo/voice note. Relay inspector shows envelopes. Guardian fires on a test ID number and an EXIF photo. Direct APK installs.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2 Household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Groups, Status, calls, Chamber, inbound Guardian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Paired Chamber burns keys. Group join is explicit. Call uses in-region TURN only when P2P fails.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3 Phone died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Export / unlink / restore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Passphrase export restores on a second device. Chambers opt-in. Safety numbers re-verify.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4 After v1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Box, desktop, mesh, group calls, LLM pack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New TM pass per surface. Not scheduled as blocking v1.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2. Technical policy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Language: Kotlin on Android. Protocol library recorded in writing before “secure” appears in store text.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Crypto: current double-ratchet lineage for 1:1 and small groups; PQ hybrid when a reviewed construction exists.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Storage: encrypted on-device store; Chamber = separate Keystore alias + files.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Push: FCM allowed as wake-up only. Bodies empty or opaque.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No ads SDK, no third-party analytics, no cloud model API on bodies.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Dependencies pinned. Releases signed. Hashes published. Reproducible builds are a milestone, not a Loop 1 blocker.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3. Environments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6066"/>
      </w:tblGrid>
      <w:tr>
        <w:trPr>
          <w:tblHeader/>
        </w:trP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Purpose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Rule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Dev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Engineers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Fake region. No real user mailboxes.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Staging ZA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Abuse test + compulsion drill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Same schema as prod. Logs reviewed against T7.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Prod ZA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Public Bleep default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Holdings must match TM §9 and the LE guide.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Box (later)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Self-host image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Sealed-by-default. Out of v1 if UX unfinished.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4. Quality bar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A story is not done when the screen works. It is done when the traceability workbook has a test ID, the holdings map is untouched or bumped, and QA has tried to break T7 / T10 / T18 on that story.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5. Staffing assumption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This plan assumes a small team. If only two builders exist, order is: client crypto + local store → sealed mailbox protocol → composer + Guardian rules → push wake-up → Chamber alias → calls. Relays stay deliberately dumb.</w:t>
      </w:r>
    </w:p>
    <w:sectPr>
      <w:headerReference w:type="default" r:id="rId7"/>
      <w:footerReference w:type="default" r:id="rId8"/>
      <w:pgSz w:w="11906" w:h="16838" w:orient="portrait"/>
      <w:pgMar w:top="860" w:right="720" w:bottom="860" w:left="72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7C" w:sz="8" w:space="6"/>
      </w:pBdr>
      <w:tabs>
        <w:tab w:val="right" w:pos="10466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Internal  ·  Bound to TM-001 + FC-001</w:t>
    </w:r>
    <w:r>
      <w:rPr>
        <w:rFonts w:ascii="Arial" w:cs="Arial" w:eastAsia="Arial" w:hAnsi="Arial"/>
        <w:b w:val="false"/>
        <w:bCs w:val="false"/>
        <w:i w:val="false"/>
        <w:iCs w:val="false"/>
        <w:color w:val="1C1917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Page </w:t>
    </w:r>
    <w:r>
      <w:rPr>
        <w:rFonts w:ascii="Arial" w:cs="Arial" w:eastAsia="Arial" w:hAnsi="Arial"/>
        <w:color w:val="5C534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 of </w:t>
    </w:r>
    <w:r>
      <w:rPr>
        <w:rFonts w:ascii="Arial" w:cs="Arial" w:eastAsia="Arial" w:hAnsi="Arial"/>
        <w:color w:val="5C534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7C" w:sz="8" w:space="6"/>
      </w:pBdr>
      <w:tabs>
        <w:tab w:val="right" w:pos="10466"/>
      </w:tabs>
      <w:spacing w:after="80"/>
    </w:pP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5"/>
        <w:szCs w:val="15"/>
      </w:rPr>
      <w:t xml:space="preserve">BLEEP-SDLC-002  ·  Software Development Plan</w:t>
    </w:r>
    <w:r>
      <w:rPr>
        <w:rFonts w:ascii="Arial" w:cs="Arial" w:eastAsia="Arial" w:hAnsi="Arial"/>
        <w:b w:val="false"/>
        <w:bCs w:val="false"/>
        <w:i w:val="false"/>
        <w:iCs w:val="false"/>
        <w:color w:val="1C1917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5"/>
        <w:szCs w:val="15"/>
      </w:rPr>
      <w:t xml:space="preserve">Personal Bleep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C191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C19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Development Plan</dc:title>
  <dc:creator>Bleep</dc:creator>
  <dc:description>How Personal v1 is built: loops, engineering rules, and what “done” means.</dc:description>
  <cp:lastModifiedBy>Un-named</cp:lastModifiedBy>
  <cp:revision>1</cp:revision>
  <dcterms:created xsi:type="dcterms:W3CDTF">2026-08-31T09:43:36.194Z</dcterms:created>
  <dcterms:modified xsi:type="dcterms:W3CDTF">2026-08-31T09:43:36.194Z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