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POPIA Privacy Impact Assessment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Lawful processing for Public Bleep as a ZA-default operator. Bodies are not our personal information to mine.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BLEEP-SDLC-005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Purpose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PIA asks what Personal Information Public Bleep and the Android client process, why, and what we refuse. It is aligned to POPIA principles: minimality, purpose specification, security safeguards, openness. It is not legal advice and does not replace counsel.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Responsible parties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Bleep stance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Responsible party (operator of Public Bleep)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 mailboxes, coarse connection metadata, optional published handle lookup. Default seat planned under ZA control (T19).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Operator of a Bleep box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Same protocol. May log more on their host — warn the community. Not v1 default.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User (device)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Controls plaintext, contacts, Chamber stores, export files.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vendor (A4)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May hold an opaque device token. Must not receive names or previews.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 / Chamber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operators. No separate company processing.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Processing inventory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Public Bleep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Message / attachment plaintext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Yes, locally encrypted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Identity private key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Yes (Keystore)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required. If recovery hint: minimise / hash / prefer not to hold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Optional, local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Handle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Only if published; rate-limited lookup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Contact graph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Yes, on device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 PII hits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UI event only — no dossier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Chamber ephemeral IDs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Mailbox IDs like any other; no “this is a Chamber” product flag required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Yes, until burn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token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May exist at vendor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Source IP / last connect band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Possible; coarse; short retention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Backups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None by default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User export only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Lawful basis (working view)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Provide the messenger the user asked for — contract / legitimate interest in operating mailboxes they chose.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Security of the service — quotas, request-to-message, abuse rate limits. Not an excuse to keep content.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Legal obligation — produce the little we have under ZA process (T20). Do not invent extra logs so that a future demand is richer.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We do not process bodies for advertising, model training, or “safety cloud scanning.” Those purposes are forbidden by FC-001.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Risks and treatments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POPIA angle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Treatment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Operator reads chats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Security safeguards fail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E2EE + no plaintext holding. T1/T2.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Graph from logs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Processing beyond purpose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recipient×sender persist. Abuse test in staging.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preview leak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Unwanted disclosure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Empty body. Local notify after decrypt.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Export emailed raw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User-caused disclosure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Forced passphrase (T18). Honest UI.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US vendor on bodies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Cross-border + extra-territorial demand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US-only path for bodies. Guardian stays on device.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Diagnostics too rich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Excessive PI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Opt-in, stripped IDs and hits.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Data subject rights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Access / deletion of *content* is exercised on the device (erase, burn Chamber, export). The operator cannot produce a transcript to “give the user their data” because we do not have it. We can say what mailbox identifiers and coarse connection bands we still hold, and we can drop a mailbox. That limitation SHALL be written in the privacy notice — it is not a dodge; it is the architecture.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7. Residual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Traffic analysis, group fan-out, and push metadata remain. Document them. Do not market them away. Appoint an Information Officer before Public Bleep holds real mailboxes.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BLEEP-SDLC-005  ·  POPIA Privacy Impact Assessment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POPIA Privacy Impact Assessment</dc:title>
  <dc:creator>Bleep</dc:creator>
  <dc:description>Lawful processing for Public Bleep as a ZA-default operator. Bodies are not our personal information to mine.</dc:description>
  <cp:lastModifiedBy>Un-named</cp:lastModifiedBy>
  <cp:revision>1</cp:revision>
  <dcterms:created xsi:type="dcterms:W3CDTF">2026-08-31T09:43:37.130Z</dcterms:created>
  <dcterms:modified xsi:type="dcterms:W3CDTF">2026-08-31T09:43:37.130Z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