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</w:t>
      </w:r>
    </w:p>
    <w:p>
      <w:pPr>
        <w:jc w:val="center"/>
      </w:pPr>
      <w:r>
        <w:t>The Modern Platform for End-of-Life &amp; Legacy Services</w:t>
      </w:r>
    </w:p>
    <w:p>
      <w:r>
        <w:t>Investor One-Pager | June 2026 | Seed Round: R5 Million</w:t>
      </w:r>
    </w:p>
    <w:p>
      <w:pPr>
        <w:pStyle w:val="Heading1"/>
      </w:pPr>
      <w:r>
        <w:t>The Problem</w:t>
      </w:r>
    </w:p>
    <w:p>
      <w:r>
        <w:t>South Africa’s funeral and end-of-life industry is fragmented, paper-heavy, and digitally underserved. Funeral parlors struggle with manual processes and compliance. Families have disjointed experiences. Underwriters and future stakeholders lack modern tools.</w:t>
      </w:r>
    </w:p>
    <w:p>
      <w:pPr>
        <w:pStyle w:val="Heading1"/>
      </w:pPr>
      <w:r>
        <w:t>Our Solution: RestWell</w:t>
      </w:r>
    </w:p>
    <w:p>
      <w:r>
        <w:t>A multi-tenant SaaS/PaaS platform that serves funeral parlors today and expands into cemetery management, insurance underwriting, DHA integration, and digital legacy tools.</w:t>
      </w:r>
    </w:p>
    <w:p>
      <w:pPr>
        <w:pStyle w:val="Heading1"/>
      </w:pPr>
      <w:r>
        <w:t>Key Differentiators in v1 (Major Competitive Advantage)</w:t>
      </w:r>
    </w:p>
    <w:p>
      <w:r>
        <w:t>• Custom Branding Engine – Fully white-label the platform for each client</w:t>
        <w:br/>
        <w:t>• Branded Client Mobile App – Generate native Android + iOS apps per client</w:t>
        <w:br/>
        <w:t>• Client Website + Website Builder – Domain management and easy public website builder</w:t>
        <w:br/>
        <w:t>These features dramatically increase stickiness and perceived value.</w:t>
      </w:r>
    </w:p>
    <w:p>
      <w:pPr>
        <w:pStyle w:val="Heading1"/>
      </w:pPr>
      <w:r>
        <w:t>Business Model</w:t>
      </w:r>
    </w:p>
    <w:p>
      <w:r>
        <w:t>Core SaaS subscriptions (R1,500 – R12,000+/mo)</w:t>
        <w:br/>
        <w:t>High-margin paid add-ons including Custom Branding, Branded App, and Website Builder</w:t>
        <w:br/>
        <w:t>Future revenue from usage-based pricing, marketplace, and government contracts</w:t>
      </w:r>
    </w:p>
    <w:p>
      <w:pPr>
        <w:pStyle w:val="Heading1"/>
      </w:pPr>
      <w:r>
        <w:t>Seed Ask: R5 Million ZAR</w:t>
      </w:r>
    </w:p>
    <w:p>
      <w:r>
        <w:t>Target: R5M (~$275k USD)</w:t>
        <w:br/>
        <w:t>Runway: 14–16 months</w:t>
        <w:br/>
        <w:t>Use of Funds:</w:t>
        <w:br/>
        <w:t>• 45% Product &amp; Engineering (Core + Custom Branding + Branded App + Website Builder)</w:t>
        <w:br/>
        <w:t>• 25% Sales &amp; Marketing (Gauteng launch)</w:t>
        <w:br/>
        <w:t>• 20% Early team hires</w:t>
        <w:br/>
        <w:t>• 10% Operations &amp; compliance</w:t>
      </w:r>
    </w:p>
    <w:p/>
    <w:p>
      <w:pPr>
        <w:jc w:val="center"/>
      </w:pPr>
      <w:r>
        <w:t>Contact: uNdabezinhle | Johannesburg, South Africa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