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RestWell</w:t>
      </w:r>
    </w:p>
    <w:p>
      <w:pPr>
        <w:jc w:val="center"/>
      </w:pPr>
      <w:r>
        <w:rPr>
          <w:i/>
          <w:sz w:val="28"/>
        </w:rPr>
        <w:t>The Modern Platform for End-of-Life &amp; Legacy Services</w:t>
      </w:r>
    </w:p>
    <w:p>
      <w:r>
        <w:t>Investor One-Pager | June 2026</w:t>
      </w:r>
    </w:p>
    <w:p>
      <w:pPr>
        <w:pStyle w:val="Heading1"/>
      </w:pPr>
      <w:r>
        <w:t>The Problem</w:t>
      </w:r>
    </w:p>
    <w:p>
      <w:r>
        <w:t xml:space="preserve">South Africa’s funeral industry (and similar markets) is highly fragmented, paper-heavy, and digitally underserved. </w:t>
        <w:br/>
        <w:t xml:space="preserve">Funeral parlors struggle with manual processes, compliance (CoC, BI1663, POPIA), inventory, scheduling, and recurring revenue through policies. </w:t>
        <w:br/>
        <w:t>Families face fragmented experiences. Underwriters and future stakeholders (cemetery operators, DHA) lack modern tools.</w:t>
      </w:r>
    </w:p>
    <w:p>
      <w:pPr>
        <w:pStyle w:val="Heading1"/>
      </w:pPr>
      <w:r>
        <w:t>Our Solution: RestWell</w:t>
      </w:r>
    </w:p>
    <w:p>
      <w:r>
        <w:t>RestWell is a multi-tenant SaaS/PaaS platform that digitizes and connects the entire end-of-life ecosystem.</w:t>
        <w:br/>
        <w:t>Core today: Funeral parlor operations + custom funeral policies with multiple underwriters.</w:t>
        <w:br/>
        <w:t>Future: Cemetery management, DHA integration, digital legacy tools, and more.</w:t>
      </w:r>
    </w:p>
    <w:p>
      <w:pPr>
        <w:pStyle w:val="Heading1"/>
      </w:pPr>
      <w:r>
        <w:t>Key Features (MVP)</w:t>
      </w:r>
    </w:p>
    <w:p>
      <w:r>
        <w:t>• Multi-tenant &amp; multi-branch architecture (built for scale)</w:t>
        <w:br/>
        <w:t>• Full case, scheduling, inventory &amp; compliance management</w:t>
        <w:br/>
        <w:t>• Custom funeral policy engine with multiple underwriters</w:t>
        <w:br/>
        <w:t>• Mortuary module &amp; geolocation for pickups/drop-offs (modular)</w:t>
        <w:br/>
        <w:t>• Cross-platform (Flutter): Android, iOS, Huawei, Windows, Web</w:t>
        <w:br/>
        <w:t>• Offline-first for load-shedding resilience</w:t>
      </w:r>
    </w:p>
    <w:p>
      <w:pPr>
        <w:pStyle w:val="Heading1"/>
      </w:pPr>
      <w:r>
        <w:t>Business Model</w:t>
      </w:r>
    </w:p>
    <w:p>
      <w:r>
        <w:t>SaaS subscriptions (Starter R1,500 – Enterprise R12,000+/mo per tenant)</w:t>
        <w:br/>
        <w:t>Paid add-ons: Mortuary, Advanced Geolocation, Notifications, In-App Calls, Analytics</w:t>
        <w:br/>
        <w:t>Future revenue: Usage-based pricing, marketplace commissions, white-label, government contracts</w:t>
      </w:r>
    </w:p>
    <w:p>
      <w:pPr>
        <w:pStyle w:val="Heading1"/>
      </w:pPr>
      <w:r>
        <w:t>Market Opportunity</w:t>
      </w:r>
    </w:p>
    <w:p>
      <w:r>
        <w:t>• Large and growing funeral services market in South Africa</w:t>
        <w:br/>
        <w:t>• Clear expansion path into cemetery, insurance underwriting, and government digital services (DHA)</w:t>
        <w:br/>
        <w:t>• Low competition in modern, compliant, multi-stakeholder platforms</w:t>
        <w:br/>
        <w:t>• Strong defensibility through multi-tenancy, compliance depth, and ecosystem approach</w:t>
      </w:r>
    </w:p>
    <w:p>
      <w:pPr>
        <w:pStyle w:val="Heading1"/>
      </w:pPr>
      <w:r>
        <w:t>Roadmap</w:t>
      </w:r>
    </w:p>
    <w:p>
      <w:r>
        <w:t>Phase 1 (2026): MVP for funeral parlors + policy management</w:t>
        <w:br/>
        <w:t>Phase 2: Mortuary + advanced geo + early cemetery features</w:t>
        <w:br/>
        <w:t>Phase 3: DHA integration + legacy/memorial tools</w:t>
        <w:br/>
        <w:t>Phase 4: Full ecosystem platform &amp; marketplace</w:t>
      </w:r>
    </w:p>
    <w:p>
      <w:pPr>
        <w:pStyle w:val="Heading1"/>
      </w:pPr>
      <w:r>
        <w:t>Team &amp; Ask</w:t>
      </w:r>
    </w:p>
    <w:p>
      <w:r>
        <w:t>Founder: Ndabezinhle (uNdabezinhle) – Experienced solo full-stack developer &amp; SMME operator with deep domain focus on compliance, research, and local tech solutions.</w:t>
        <w:br/>
        <w:t>Currently building with modern tools (Django, Flutter, AI-assisted development).</w:t>
      </w:r>
    </w:p>
    <w:p>
      <w:r>
        <w:t>Seeking: Seed / pre-seed investment or strategic partnership to accelerate development, hiring, and go-to-market in Gauteng and beyond.</w:t>
        <w:br/>
        <w:t>Use of funds: Product development, compliance certifications, initial sales &amp; marketing, and team expansion.</w:t>
      </w:r>
    </w:p>
    <w:p/>
    <w:p>
      <w:pPr>
        <w:jc w:val="center"/>
      </w:pPr>
      <w:r>
        <w:t>Contact: uNdabezinhle | Johannesburg, South Africa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