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Software Requirements Specification (SRS) v1.0</w:t>
      </w:r>
    </w:p>
    <w:p>
      <w:pPr>
        <w:pStyle w:val="Heading1"/>
      </w:pPr>
      <w:r>
        <w:t>1. Introduction</w:t>
      </w:r>
    </w:p>
    <w:p>
      <w:r>
        <w:t>Purpose: Define requirements for the RestWell multi-tenant end-of-life services platform.</w:t>
      </w:r>
    </w:p>
    <w:p>
      <w:pPr>
        <w:pStyle w:val="Heading1"/>
      </w:pPr>
      <w:r>
        <w:t>2. Overall Description</w:t>
      </w:r>
    </w:p>
    <w:p>
      <w:r>
        <w:t>Product: Modern SaaS/PaaS for funeral parlors with expansion path to underwriters, cemeteries, and government stakeholders.</w:t>
        <w:br/>
        <w:t>User Classes: Parlor staff, underwriters, families, super-admins, future cemetery operators and DHA users.</w:t>
      </w:r>
    </w:p>
    <w:p>
      <w:pPr>
        <w:pStyle w:val="Heading1"/>
      </w:pPr>
      <w:r>
        <w:t>3. Specific Requirements</w:t>
      </w:r>
    </w:p>
    <w:p>
      <w:r>
        <w:t>Functional: Multi-tenancy, multi-branch, case management, policy &amp; underwriter management, mortuary (add-on), geolocation, compliance.</w:t>
        <w:br/>
        <w:t>Non-Functional: Security (tenant isolation), offline support, scalability, POPIA/FSCA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